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hint="eastAsia" w:ascii="宋体" w:hAnsi="宋体"/>
          <w:b/>
          <w:kern w:val="0"/>
          <w:sz w:val="24"/>
          <w:szCs w:val="21"/>
          <w:lang w:bidi="en-US"/>
        </w:rPr>
      </w:pPr>
      <w:r>
        <w:rPr>
          <w:rFonts w:hint="eastAsia" w:ascii="仿宋_GB2312" w:eastAsia="仿宋_GB2312"/>
          <w:b/>
          <w:color w:val="000000"/>
          <w:sz w:val="28"/>
          <w:szCs w:val="28"/>
        </w:rPr>
        <w:pict>
          <v:shape id="AutoShape 8" o:spid="_x0000_s1026" o:spt="136" type="#_x0000_t136" style="position:absolute;left:0pt;margin-left:-9.9pt;margin-top:1.1pt;height:34.1pt;width:457.8pt;z-index:251660288;mso-width-relative:page;mso-height-relative:page;" fillcolor="#FF0000" filled="t" stroked="t" coordsize="21600,21600">
            <v:path/>
            <v:fill on="t" focussize="0,0"/>
            <v:stroke color="#FF0000"/>
            <v:imagedata o:title=""/>
            <o:lock v:ext="edit" grouping="f" rotation="f" text="f" aspectratio="f"/>
            <v:textpath on="t" fitshape="t" fitpath="t" trim="t" xscale="f" string="共青团中国地质大学委员会文件" style="font-family:华文中宋;font-size:36pt;font-weight:bold;v-text-align:center;"/>
          </v:shape>
        </w:pict>
      </w:r>
    </w:p>
    <w:p>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center"/>
        <w:textAlignment w:val="auto"/>
        <w:outlineLvl w:val="9"/>
        <w:rPr>
          <w:rFonts w:hint="eastAsia" w:ascii="仿宋" w:hAnsi="仿宋" w:eastAsia="仿宋"/>
          <w:color w:val="000000"/>
          <w:sz w:val="28"/>
        </w:rPr>
      </w:pPr>
      <w:r>
        <w:rPr>
          <w:rFonts w:hint="eastAsia" w:ascii="黑体" w:hAnsi="黑体" w:eastAsia="黑体"/>
          <w:b/>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2733040</wp:posOffset>
                </wp:positionH>
                <wp:positionV relativeFrom="paragraph">
                  <wp:posOffset>484505</wp:posOffset>
                </wp:positionV>
                <wp:extent cx="144145" cy="144145"/>
                <wp:effectExtent l="13970" t="15875" r="32385" b="30480"/>
                <wp:wrapNone/>
                <wp:docPr id="17" name="AutoShape 12"/>
                <wp:cNvGraphicFramePr/>
                <a:graphic xmlns:a="http://schemas.openxmlformats.org/drawingml/2006/main">
                  <a:graphicData uri="http://schemas.microsoft.com/office/word/2010/wordprocessingShape">
                    <wps:wsp>
                      <wps:cNvSpPr/>
                      <wps:spPr>
                        <a:xfrm>
                          <a:off x="0" y="0"/>
                          <a:ext cx="144145" cy="144145"/>
                        </a:xfrm>
                        <a:prstGeom prst="star5">
                          <a:avLst/>
                        </a:prstGeom>
                        <a:solidFill>
                          <a:srgbClr val="FF0000"/>
                        </a:solidFill>
                        <a:ln w="9525" cap="flat" cmpd="sng">
                          <a:solidFill>
                            <a:srgbClr val="FF0000"/>
                          </a:solidFill>
                          <a:prstDash val="solid"/>
                          <a:miter/>
                          <a:headEnd type="none" w="med" len="med"/>
                          <a:tailEnd type="none" w="med" len="med"/>
                        </a:ln>
                      </wps:spPr>
                      <wps:bodyPr upright="1"/>
                    </wps:wsp>
                  </a:graphicData>
                </a:graphic>
              </wp:anchor>
            </w:drawing>
          </mc:Choice>
          <mc:Fallback>
            <w:pict>
              <v:shape id="AutoShape 12" o:spid="_x0000_s1026" style="position:absolute;left:0pt;margin-left:215.2pt;margin-top:38.15pt;height:11.35pt;width:11.35pt;z-index:251664384;mso-width-relative:page;mso-height-relative:page;" fillcolor="#FF0000" filled="t" stroked="t" coordsize="144145,144145" o:gfxdata="UEsDBAoAAAAAAIdO4kAAAAAAAAAAAAAAAAAEAAAAZHJzL1BLAwQUAAAACACHTuJAwywT19kAAAAJ&#10;AQAADwAAAGRycy9kb3ducmV2LnhtbE2Py07DMBBF90j8gzVI7KgdEto0jVMhBAKpYkFB6taJhyQi&#10;Hkd+tOXvMStYju7RvWfq7dlM7IjOj5YkZAsBDKmzeqRewsf7000JzAdFWk2WUMI3etg2lxe1qrQ9&#10;0Rse96FnqYR8pSQMIcwV574b0Ci/sDNSyj6tMyqk0/VcO3VK5Wbit0IsuVEjpYVBzfgwYPe1j0ZC&#10;fH4td8NLeb9zkXA+PK541K2U11eZ2AALeA5/MPzqJ3VoklNrI2nPJglFLoqESlgtc2AJKO7yDFgr&#10;Yb0WwJua//+g+QFQSwMEFAAAAAgAh07iQE5S/hDSAQAA1QMAAA4AAABkcnMvZTJvRG9jLnhtbK1T&#10;247TMBB9R+IfLL/TJFXLJWq6QpTygmClXT5gajuJJd/kcZv27xk7pcvCywqRB2fGHp+Zc2a8uTtb&#10;w04qovau482i5kw54aV2Q8d/PO7fvOcMEzgJxjvV8YtCfrd9/WozhVYt/eiNVJERiMN2Ch0fUwpt&#10;VaEYlQVc+KAcHfY+WkjkxqGSESZCt6Za1vXbavJRhuiFQqTd3XzItwW/75VI3/seVWKm41RbKmss&#10;6yGv1XYD7RAhjFpcy4B/qMKCdpT0BrWDBOwY9V9QVovo0fdpIbytfN9roQoHYtPUf7B5GCGowoXE&#10;wXCTCf8frPh2uo9MS+rdO84cWOrRx2PyJTVrllmgKWBLcQ/hPl49JDOzPffR5j/xYOci6uUmqjon&#10;JmizWa2a1ZozQUdXm1Cqp8shYvqivGXZ6DhNS1wXLeH0FdMc+ysmJ0NvtNxrY4oTh8MnE9kJqMH7&#10;fU1fLpngn4UZx6aOf1gvcyFAc9YbSGTaQMzRDSXfsxv4MuBc2A5wnAsoCPNMWZ1UlgvaUYH87CRL&#10;l0DiOnoGPBdjleTMKHo12SqRCbR5SSSxM45I5sbMrcjWwcsL9fIYoh5GErIpQuQTmp0iyXXO83D+&#10;7hekp9e4/Q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LBPX2QAAAAkBAAAPAAAAAAAAAAEAIAAA&#10;ACIAAABkcnMvZG93bnJldi54bWxQSwECFAAUAAAACACHTuJATlL+ENIBAADVAwAADgAAAAAAAAAB&#10;ACAAAAAoAQAAZHJzL2Uyb0RvYy54bWxQSwUGAAAAAAYABgBZAQAAbAUAAAAA&#10;" path="m0,55058l55058,55058,72072,0,89086,55058,144144,55058,99601,89086,116615,144144,72072,110116,27529,144144,44543,89086xe">
                <v:path o:connectlocs="72072,0;0,55058;27529,144144;116615,144144;144144,55058" o:connectangles="247,164,82,82,0"/>
                <v:fill on="t" focussize="0,0"/>
                <v:stroke color="#FF0000" joinstyle="miter"/>
                <v:imagedata o:title=""/>
                <o:lock v:ext="edit" aspectratio="f"/>
              </v:shape>
            </w:pict>
          </mc:Fallback>
        </mc:AlternateContent>
      </w:r>
      <w:r>
        <w:rPr>
          <w:rFonts w:hint="eastAsia" w:ascii="仿宋" w:hAnsi="仿宋" w:eastAsia="仿宋"/>
          <w:color w:val="000000"/>
          <w:sz w:val="28"/>
          <w:szCs w:val="28"/>
        </w:rPr>
        <w:t>中地大（汉）团字[2017]1</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号</w:t>
      </w:r>
    </w:p>
    <w:p>
      <w:pPr>
        <w:spacing w:before="156" w:beforeLines="50" w:after="156" w:afterLines="50"/>
        <w:jc w:val="both"/>
        <w:rPr>
          <w:rFonts w:hint="eastAsia" w:ascii="仿宋" w:hAnsi="仿宋" w:eastAsia="仿宋"/>
          <w:color w:val="000000"/>
          <w:sz w:val="10"/>
          <w:szCs w:val="10"/>
        </w:rPr>
      </w:pPr>
      <w:r>
        <w:rPr>
          <w:rFonts w:hint="eastAsia" w:ascii="黑体" w:hAnsi="黑体" w:eastAsia="黑体"/>
          <w:b/>
          <w:color w:val="000000"/>
          <w:sz w:val="10"/>
          <w:szCs w:val="10"/>
        </w:rPr>
        <mc:AlternateContent>
          <mc:Choice Requires="wpg">
            <w:drawing>
              <wp:anchor distT="0" distB="0" distL="114300" distR="114300" simplePos="0" relativeHeight="251663360" behindDoc="0" locked="0" layoutInCell="1" allowOverlap="1">
                <wp:simplePos x="0" y="0"/>
                <wp:positionH relativeFrom="column">
                  <wp:posOffset>-144145</wp:posOffset>
                </wp:positionH>
                <wp:positionV relativeFrom="paragraph">
                  <wp:posOffset>59690</wp:posOffset>
                </wp:positionV>
                <wp:extent cx="5868035" cy="1905"/>
                <wp:effectExtent l="0" t="0" r="0" b="0"/>
                <wp:wrapNone/>
                <wp:docPr id="16" name="Group 9"/>
                <wp:cNvGraphicFramePr/>
                <a:graphic xmlns:a="http://schemas.openxmlformats.org/drawingml/2006/main">
                  <a:graphicData uri="http://schemas.microsoft.com/office/word/2010/wordprocessingGroup">
                    <wpg:wgp>
                      <wpg:cNvGrpSpPr/>
                      <wpg:grpSpPr>
                        <a:xfrm>
                          <a:off x="0" y="0"/>
                          <a:ext cx="5868035" cy="1905"/>
                          <a:chOff x="0" y="0"/>
                          <a:chExt cx="9329" cy="3"/>
                        </a:xfrm>
                      </wpg:grpSpPr>
                      <wps:wsp>
                        <wps:cNvPr id="14" name="Line 10"/>
                        <wps:cNvCnPr/>
                        <wps:spPr>
                          <a:xfrm>
                            <a:off x="0" y="3"/>
                            <a:ext cx="4402" cy="0"/>
                          </a:xfrm>
                          <a:prstGeom prst="line">
                            <a:avLst/>
                          </a:prstGeom>
                          <a:ln w="19050" cap="flat" cmpd="sng">
                            <a:solidFill>
                              <a:srgbClr val="FF0000"/>
                            </a:solidFill>
                            <a:prstDash val="solid"/>
                            <a:headEnd type="none" w="med" len="med"/>
                            <a:tailEnd type="none" w="med" len="med"/>
                          </a:ln>
                        </wps:spPr>
                        <wps:bodyPr upright="1"/>
                      </wps:wsp>
                      <wps:wsp>
                        <wps:cNvPr id="15" name="Line 11"/>
                        <wps:cNvCnPr/>
                        <wps:spPr>
                          <a:xfrm>
                            <a:off x="4927" y="0"/>
                            <a:ext cx="4402" cy="0"/>
                          </a:xfrm>
                          <a:prstGeom prst="line">
                            <a:avLst/>
                          </a:prstGeom>
                          <a:ln w="19050" cap="flat" cmpd="sng">
                            <a:solidFill>
                              <a:srgbClr val="FF0000"/>
                            </a:solidFill>
                            <a:prstDash val="solid"/>
                            <a:headEnd type="none" w="med" len="med"/>
                            <a:tailEnd type="none" w="med" len="med"/>
                          </a:ln>
                        </wps:spPr>
                        <wps:bodyPr upright="1"/>
                      </wps:wsp>
                    </wpg:wgp>
                  </a:graphicData>
                </a:graphic>
              </wp:anchor>
            </w:drawing>
          </mc:Choice>
          <mc:Fallback>
            <w:pict>
              <v:group id="Group 9" o:spid="_x0000_s1026" o:spt="203" style="position:absolute;left:0pt;margin-left:-11.35pt;margin-top:4.7pt;height:0.15pt;width:462.05pt;z-index:251663360;mso-width-relative:page;mso-height-relative:page;" coordsize="9329,3" o:gfxdata="UEsDBAoAAAAAAIdO4kAAAAAAAAAAAAAAAAAEAAAAZHJzL1BLAwQUAAAACACHTuJAgDyz/9cAAAAH&#10;AQAADwAAAGRycy9kb3ducmV2LnhtbE2OzW7CMBCE75X6DtZW6g1spz9AGgdVqO0JIRUqod5MsiQR&#10;8TqKTQJv3+2pvc1oRjNftry4VgzYh8aTAT1VIJAKXzZUGfjavU/mIEK0VNrWExq4YoBlfnuT2bT0&#10;I33isI2V4BEKqTVQx9ilUoaiRmfD1HdInB1972xk21ey7O3I466ViVLP0tmG+KG2Ha5qLE7bszPw&#10;Mdrx9UG/DevTcXX93j1t9muNxtzfafUCIuIl/pXhF5/RIWemgz9TGURrYJIkM64aWDyC4HyhNIsD&#10;ixnIPJP/+fMfUEsDBBQAAAAIAIdO4kDztjRRRQIAAK4GAAAOAAAAZHJzL2Uyb0RvYy54bWztVclu&#10;2zAQvRfoPxC815LX2oLlHOLYl6ANkPYDaIqSCHADSVv233dIyk4ao0DgADnVB5rLrO/NjJZ3RynQ&#10;gVnHtSrxcJBjxBTVFVdNiX//2nybY+Q8URURWrESn5jDd6uvX5adKdhIt1pUzCIwolzRmRK33psi&#10;yxxtmSRuoA1T8FhrK4mHo22yypIOrEuRjfJ8lnXaVsZqypyD23V6xKtov64Z9T/r2jGPRIkhNh9X&#10;G9ddWLPVkhSNJabltA+D3BCFJFyB04upNfEE7S2/MiU5tdrp2g+olpmua05ZzAGyGeZvstlavTcx&#10;l6boGnOBCaB9g9PNZumPw5NFvALuZhgpIoGj6BYtAjadaQoQ2VrzbJ5sf9GkU0j3WFsZ/iERdIyo&#10;ni6osqNHFC6n89k8H08xovA2XOTTBDptgZkrJdo+9GqL8WiRdMZBITs7y0JMlxA6A3XjXqBxH4Pm&#10;uSWGRcRdyPsMzeQMzSNXDA1j2QTPIHKvelxc4QCif4ISkyDFGZTJJB+l7KKxS3akMNb5LdMShU2J&#10;BXiMlUUOj84nIM4iwZlQqEuwQnlTAi1UC+JhKw2Q6lQTlZ0WvNpwIYKKs83uXlh0INAUm00Ovx7h&#10;v8SClzVxbZKLT4m5lpHqQVXInwxUi4K+xiEGySqMBIMxEHYQKSk84eI9kpC+UMBxwDShGHY7XZ2A&#10;gb2xvGkBimGMsmc81OZnUA91m7oiUR9jCJ7fRf1kMfqO0XVL/Gf/dZ3cxH4cAzAU42ToB3iYuq/P&#10;saJePjO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IA8s//XAAAABwEAAA8AAAAAAAAAAQAgAAAA&#10;IgAAAGRycy9kb3ducmV2LnhtbFBLAQIUABQAAAAIAIdO4kDztjRRRQIAAK4GAAAOAAAAAAAAAAEA&#10;IAAAACYBAABkcnMvZTJvRG9jLnhtbFBLBQYAAAAABgAGAFkBAADdBQAAAAA=&#10;">
                <o:lock v:ext="edit" aspectratio="f"/>
                <v:line id="Line 10" o:spid="_x0000_s1026" o:spt="20" style="position:absolute;left:0;top:3;height:0;width:4402;" filled="f" stroked="t" coordsize="21600,21600" o:gfxdata="UEsDBAoAAAAAAIdO4kAAAAAAAAAAAAAAAAAEAAAAZHJzL1BLAwQUAAAACACHTuJA1mwQKbsAAADb&#10;AAAADwAAAGRycy9kb3ducmV2LnhtbEVPTYvCMBC9C/sfwgjebFpZ6tI1eigselgQqwf3NjSzbbGZ&#10;lCba+u+NIHibx/uc1WY0rbhR7xrLCpIoBkFcWt1wpeB0/Jl/gXAeWWNrmRTcycFm/TFZYabtwAe6&#10;Fb4SIYRdhgpq77tMSlfWZNBFtiMO3L/tDfoA+0rqHocQblq5iONUGmw4NNTYUV5TeSmuRsF5v913&#10;v3me2t3fdhirNCkOy1ap2TSJv0F4Gv1b/HLvdJj/Cc9fwgF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mwQKbsAAADb&#10;AAAADwAAAAAAAAABACAAAAAiAAAAZHJzL2Rvd25yZXYueG1sUEsBAhQAFAAAAAgAh07iQDMvBZ47&#10;AAAAOQAAABAAAAAAAAAAAQAgAAAACgEAAGRycy9zaGFwZXhtbC54bWxQSwUGAAAAAAYABgBbAQAA&#10;tAMAAAAA&#10;">
                  <v:fill on="f" focussize="0,0"/>
                  <v:stroke weight="1.5pt" color="#FF0000" joinstyle="round"/>
                  <v:imagedata o:title=""/>
                  <o:lock v:ext="edit" aspectratio="f"/>
                </v:line>
                <v:line id="Line 11" o:spid="_x0000_s1026" o:spt="20" style="position:absolute;left:4927;top:0;height:0;width:4402;" filled="f" stroked="t" coordsize="21600,21600" o:gfxdata="UEsDBAoAAAAAAIdO4kAAAAAAAAAAAAAAAAAEAAAAZHJzL1BLAwQUAAAACACHTuJAuSC1srsAAADb&#10;AAAADwAAAGRycy9kb3ducmV2LnhtbEVPTYvCMBC9C/sfwgjebFph69I1eigselgQqwf3NjSzbbGZ&#10;lCba+u+NIHibx/uc1WY0rbhR7xrLCpIoBkFcWt1wpeB0/Jl/gXAeWWNrmRTcycFm/TFZYabtwAe6&#10;Fb4SIYRdhgpq77tMSlfWZNBFtiMO3L/tDfoA+0rqHocQblq5iONUGmw4NNTYUV5TeSmuRsF5v913&#10;v3me2t3fdhirNCkOy1ap2TSJv0F4Gv1b/HLvdJj/Cc9fwgF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SC1srsAAADb&#10;AAAADwAAAAAAAAABACAAAAAiAAAAZHJzL2Rvd25yZXYueG1sUEsBAhQAFAAAAAgAh07iQDMvBZ47&#10;AAAAOQAAABAAAAAAAAAAAQAgAAAACgEAAGRycy9zaGFwZXhtbC54bWxQSwUGAAAAAAYABgBbAQAA&#10;tAMAAAAA&#10;">
                  <v:fill on="f" focussize="0,0"/>
                  <v:stroke weight="1.5pt" color="#FF0000" joinstyle="round"/>
                  <v:imagedata o:title=""/>
                  <o:lock v:ext="edit" aspectratio="f"/>
                </v:line>
              </v:group>
            </w:pict>
          </mc:Fallback>
        </mc:AlternateContent>
      </w:r>
    </w:p>
    <w:p>
      <w:pPr>
        <w:spacing w:before="156" w:beforeLines="50" w:after="156" w:afterLines="50"/>
        <w:jc w:val="center"/>
        <w:rPr>
          <w:rFonts w:ascii="宋体" w:hAnsi="宋体"/>
          <w:b/>
          <w:kern w:val="0"/>
          <w:sz w:val="24"/>
          <w:szCs w:val="21"/>
          <w:lang w:bidi="en-US"/>
        </w:rPr>
      </w:pPr>
      <w:r>
        <w:rPr>
          <w:rFonts w:hint="eastAsia" w:ascii="宋体" w:hAnsi="宋体"/>
          <w:b/>
          <w:kern w:val="0"/>
          <w:sz w:val="24"/>
          <w:szCs w:val="21"/>
          <w:lang w:bidi="en-US"/>
        </w:rPr>
        <w:t>中国地质大学第十七届青年科技节系列活动</w:t>
      </w:r>
    </w:p>
    <w:p>
      <w:pPr>
        <w:spacing w:before="156" w:beforeLines="50" w:after="156" w:afterLines="50"/>
        <w:jc w:val="center"/>
        <w:rPr>
          <w:rFonts w:ascii="Times New Roman" w:hAnsi="Times New Roman" w:eastAsia="华文中宋" w:cs="Times New Roman"/>
          <w:b/>
          <w:bCs/>
          <w:kern w:val="0"/>
          <w:sz w:val="36"/>
          <w:szCs w:val="28"/>
        </w:rPr>
      </w:pPr>
      <w:r>
        <w:rPr>
          <w:rFonts w:hint="eastAsia" w:ascii="Times New Roman" w:hAnsi="Times New Roman" w:eastAsia="华文中宋" w:cs="Times New Roman"/>
          <w:b/>
          <w:bCs/>
          <w:kern w:val="0"/>
          <w:sz w:val="36"/>
          <w:szCs w:val="28"/>
        </w:rPr>
        <w:t>关于公布中国地质大学2016年大学生基础科研训练计划结题结果的通知</w:t>
      </w:r>
      <w:bookmarkStart w:id="2" w:name="_GoBack"/>
      <w:bookmarkEnd w:id="2"/>
    </w:p>
    <w:p>
      <w:pPr>
        <w:widowControl/>
        <w:snapToGrid w:val="0"/>
        <w:spacing w:before="156" w:beforeLines="50" w:line="360" w:lineRule="auto"/>
        <w:jc w:val="left"/>
        <w:rPr>
          <w:rFonts w:ascii="仿宋_GB2312" w:hAnsi="宋体" w:eastAsia="仿宋_GB2312"/>
          <w:kern w:val="0"/>
          <w:sz w:val="28"/>
          <w:szCs w:val="28"/>
        </w:rPr>
      </w:pPr>
      <w:r>
        <w:rPr>
          <w:rFonts w:hint="eastAsia" w:ascii="仿宋_GB2312" w:hAnsi="宋体" w:eastAsia="仿宋_GB2312"/>
          <w:kern w:val="0"/>
          <w:sz w:val="28"/>
          <w:szCs w:val="28"/>
        </w:rPr>
        <w:t>各学院（课部）、学生组织并全体同学：</w:t>
      </w:r>
    </w:p>
    <w:p>
      <w:pPr>
        <w:widowControl/>
        <w:snapToGrid w:val="0"/>
        <w:spacing w:before="156" w:beforeLines="50" w:line="360" w:lineRule="auto"/>
        <w:ind w:firstLine="570"/>
        <w:jc w:val="left"/>
        <w:rPr>
          <w:rFonts w:ascii="仿宋_GB2312" w:hAnsi="宋体" w:eastAsia="仿宋_GB2312"/>
          <w:kern w:val="0"/>
          <w:sz w:val="28"/>
          <w:szCs w:val="28"/>
        </w:rPr>
      </w:pPr>
      <w:r>
        <w:rPr>
          <w:rFonts w:hint="eastAsia" w:ascii="仿宋_GB2312" w:hAnsi="宋体" w:eastAsia="仿宋_GB2312"/>
          <w:kern w:val="0"/>
          <w:sz w:val="28"/>
          <w:szCs w:val="28"/>
        </w:rPr>
        <w:t>经学院审核、报送材料，现对2016年度大学生基础科研训练计划结题结果予以公示，共结题11</w:t>
      </w:r>
      <w:r>
        <w:rPr>
          <w:rFonts w:ascii="仿宋_GB2312" w:hAnsi="宋体" w:eastAsia="仿宋_GB2312"/>
          <w:kern w:val="0"/>
          <w:sz w:val="28"/>
          <w:szCs w:val="28"/>
        </w:rPr>
        <w:t>7</w:t>
      </w:r>
      <w:r>
        <w:rPr>
          <w:rFonts w:hint="eastAsia" w:ascii="仿宋_GB2312" w:hAnsi="宋体" w:eastAsia="仿宋_GB2312"/>
          <w:kern w:val="0"/>
          <w:sz w:val="28"/>
          <w:szCs w:val="28"/>
        </w:rPr>
        <w:t>项，不予结题56项，延期结题8项，具体情况见附表。</w:t>
      </w:r>
    </w:p>
    <w:p>
      <w:pPr>
        <w:widowControl/>
        <w:ind w:firstLine="555"/>
        <w:rPr>
          <w:rFonts w:ascii="仿宋_GB2312" w:hAnsi="宋体" w:eastAsia="仿宋_GB2312"/>
          <w:bCs/>
          <w:kern w:val="0"/>
          <w:sz w:val="24"/>
          <w:szCs w:val="28"/>
        </w:rPr>
      </w:pPr>
    </w:p>
    <w:p>
      <w:pPr>
        <w:widowControl/>
        <w:ind w:firstLine="555"/>
        <w:rPr>
          <w:rFonts w:ascii="仿宋_GB2312" w:hAnsi="宋体" w:eastAsia="仿宋_GB2312"/>
          <w:bCs/>
          <w:kern w:val="0"/>
          <w:sz w:val="24"/>
          <w:szCs w:val="28"/>
        </w:rPr>
      </w:pPr>
      <w:r>
        <w:rPr>
          <w:rFonts w:hint="eastAsia" w:ascii="仿宋_GB2312" w:hAnsi="宋体" w:eastAsia="仿宋_GB2312"/>
          <w:bCs/>
          <w:kern w:val="0"/>
          <w:sz w:val="24"/>
          <w:szCs w:val="28"/>
        </w:rPr>
        <w:t>附件</w:t>
      </w:r>
      <w:r>
        <w:rPr>
          <w:rFonts w:hint="eastAsia" w:ascii="仿宋_GB2312" w:hAnsi="宋体" w:eastAsia="仿宋_GB2312"/>
          <w:bCs/>
          <w:kern w:val="0"/>
          <w:sz w:val="24"/>
          <w:szCs w:val="28"/>
          <w:lang w:eastAsia="zh-CN"/>
        </w:rPr>
        <w:t>一</w:t>
      </w:r>
      <w:r>
        <w:rPr>
          <w:rFonts w:hint="eastAsia" w:ascii="仿宋_GB2312" w:hAnsi="宋体" w:eastAsia="仿宋_GB2312"/>
          <w:bCs/>
          <w:kern w:val="0"/>
          <w:sz w:val="24"/>
          <w:szCs w:val="28"/>
        </w:rPr>
        <w:t>：中国地质大学201</w:t>
      </w:r>
      <w:r>
        <w:rPr>
          <w:rFonts w:ascii="仿宋_GB2312" w:hAnsi="宋体" w:eastAsia="仿宋_GB2312"/>
          <w:bCs/>
          <w:kern w:val="0"/>
          <w:sz w:val="24"/>
          <w:szCs w:val="28"/>
        </w:rPr>
        <w:t>6</w:t>
      </w:r>
      <w:r>
        <w:rPr>
          <w:rFonts w:hint="eastAsia" w:ascii="仿宋_GB2312" w:hAnsi="宋体" w:eastAsia="仿宋_GB2312"/>
          <w:bCs/>
          <w:kern w:val="0"/>
          <w:sz w:val="24"/>
          <w:szCs w:val="28"/>
        </w:rPr>
        <w:t>年大学生基础科研训练计划</w:t>
      </w:r>
      <w:r>
        <w:rPr>
          <w:rFonts w:hint="eastAsia" w:ascii="仿宋_GB2312" w:hAnsi="宋体" w:eastAsia="仿宋_GB2312"/>
          <w:bCs/>
          <w:kern w:val="0"/>
          <w:sz w:val="24"/>
          <w:szCs w:val="28"/>
          <w:lang w:eastAsia="zh-CN"/>
        </w:rPr>
        <w:t>予以</w:t>
      </w:r>
      <w:r>
        <w:rPr>
          <w:rFonts w:hint="eastAsia" w:ascii="仿宋_GB2312" w:hAnsi="宋体" w:eastAsia="仿宋_GB2312"/>
          <w:bCs/>
          <w:kern w:val="0"/>
          <w:sz w:val="24"/>
          <w:szCs w:val="28"/>
        </w:rPr>
        <w:t>结题</w:t>
      </w:r>
      <w:r>
        <w:rPr>
          <w:rFonts w:hint="eastAsia" w:ascii="仿宋_GB2312" w:hAnsi="宋体" w:eastAsia="仿宋_GB2312"/>
          <w:bCs/>
          <w:kern w:val="0"/>
          <w:sz w:val="24"/>
          <w:szCs w:val="28"/>
          <w:lang w:eastAsia="zh-CN"/>
        </w:rPr>
        <w:t>项目</w:t>
      </w:r>
    </w:p>
    <w:p>
      <w:pPr>
        <w:widowControl/>
        <w:ind w:firstLine="555"/>
        <w:rPr>
          <w:rFonts w:hint="eastAsia" w:ascii="仿宋_GB2312" w:hAnsi="宋体" w:eastAsia="仿宋_GB2312"/>
          <w:bCs/>
          <w:kern w:val="0"/>
          <w:sz w:val="24"/>
          <w:szCs w:val="28"/>
          <w:lang w:eastAsia="zh-CN"/>
        </w:rPr>
      </w:pPr>
      <w:r>
        <w:rPr>
          <w:rFonts w:hint="eastAsia" w:ascii="仿宋_GB2312" w:hAnsi="宋体" w:eastAsia="仿宋_GB2312"/>
          <w:bCs/>
          <w:kern w:val="0"/>
          <w:sz w:val="24"/>
          <w:szCs w:val="28"/>
        </w:rPr>
        <w:t>附件</w:t>
      </w:r>
      <w:r>
        <w:rPr>
          <w:rFonts w:hint="eastAsia" w:ascii="仿宋_GB2312" w:hAnsi="宋体" w:eastAsia="仿宋_GB2312"/>
          <w:bCs/>
          <w:kern w:val="0"/>
          <w:sz w:val="24"/>
          <w:szCs w:val="28"/>
          <w:lang w:eastAsia="zh-CN"/>
        </w:rPr>
        <w:t>二</w:t>
      </w:r>
      <w:r>
        <w:rPr>
          <w:rFonts w:hint="eastAsia" w:ascii="仿宋_GB2312" w:hAnsi="宋体" w:eastAsia="仿宋_GB2312"/>
          <w:bCs/>
          <w:kern w:val="0"/>
          <w:sz w:val="24"/>
          <w:szCs w:val="28"/>
        </w:rPr>
        <w:t>：中国地质大学201</w:t>
      </w:r>
      <w:r>
        <w:rPr>
          <w:rFonts w:ascii="仿宋_GB2312" w:hAnsi="宋体" w:eastAsia="仿宋_GB2312"/>
          <w:bCs/>
          <w:kern w:val="0"/>
          <w:sz w:val="24"/>
          <w:szCs w:val="28"/>
        </w:rPr>
        <w:t>6</w:t>
      </w:r>
      <w:r>
        <w:rPr>
          <w:rFonts w:hint="eastAsia" w:ascii="仿宋_GB2312" w:hAnsi="宋体" w:eastAsia="仿宋_GB2312"/>
          <w:bCs/>
          <w:kern w:val="0"/>
          <w:sz w:val="24"/>
          <w:szCs w:val="28"/>
        </w:rPr>
        <w:t>年大学生基础科研训练计划</w:t>
      </w:r>
      <w:r>
        <w:rPr>
          <w:rFonts w:hint="eastAsia" w:ascii="仿宋_GB2312" w:hAnsi="宋体" w:eastAsia="仿宋_GB2312"/>
          <w:bCs/>
          <w:kern w:val="0"/>
          <w:sz w:val="24"/>
          <w:szCs w:val="28"/>
          <w:lang w:eastAsia="zh-CN"/>
        </w:rPr>
        <w:t>不予</w:t>
      </w:r>
      <w:r>
        <w:rPr>
          <w:rFonts w:hint="eastAsia" w:ascii="仿宋_GB2312" w:hAnsi="宋体" w:eastAsia="仿宋_GB2312"/>
          <w:bCs/>
          <w:kern w:val="0"/>
          <w:sz w:val="24"/>
          <w:szCs w:val="28"/>
        </w:rPr>
        <w:t>结题</w:t>
      </w:r>
      <w:r>
        <w:rPr>
          <w:rFonts w:hint="eastAsia" w:ascii="仿宋_GB2312" w:hAnsi="宋体" w:eastAsia="仿宋_GB2312"/>
          <w:bCs/>
          <w:kern w:val="0"/>
          <w:sz w:val="24"/>
          <w:szCs w:val="28"/>
          <w:lang w:eastAsia="zh-CN"/>
        </w:rPr>
        <w:t>项目</w:t>
      </w:r>
    </w:p>
    <w:p>
      <w:pPr>
        <w:widowControl/>
        <w:ind w:firstLine="555"/>
        <w:rPr>
          <w:rFonts w:hint="eastAsia" w:ascii="仿宋_GB2312" w:hAnsi="宋体" w:eastAsia="仿宋_GB2312"/>
          <w:bCs/>
          <w:kern w:val="0"/>
          <w:sz w:val="24"/>
          <w:szCs w:val="28"/>
          <w:lang w:eastAsia="zh-CN"/>
        </w:rPr>
      </w:pPr>
      <w:r>
        <w:rPr>
          <w:rFonts w:hint="eastAsia" w:ascii="仿宋_GB2312" w:hAnsi="宋体" w:eastAsia="仿宋_GB2312"/>
          <w:bCs/>
          <w:kern w:val="0"/>
          <w:sz w:val="24"/>
          <w:szCs w:val="28"/>
        </w:rPr>
        <w:t>附件</w:t>
      </w:r>
      <w:r>
        <w:rPr>
          <w:rFonts w:hint="eastAsia" w:ascii="仿宋_GB2312" w:hAnsi="宋体" w:eastAsia="仿宋_GB2312"/>
          <w:bCs/>
          <w:kern w:val="0"/>
          <w:sz w:val="24"/>
          <w:szCs w:val="28"/>
          <w:lang w:eastAsia="zh-CN"/>
        </w:rPr>
        <w:t>三</w:t>
      </w:r>
      <w:r>
        <w:rPr>
          <w:rFonts w:hint="eastAsia" w:ascii="仿宋_GB2312" w:hAnsi="宋体" w:eastAsia="仿宋_GB2312"/>
          <w:bCs/>
          <w:kern w:val="0"/>
          <w:sz w:val="24"/>
          <w:szCs w:val="28"/>
        </w:rPr>
        <w:t>：中国地质大学201</w:t>
      </w:r>
      <w:r>
        <w:rPr>
          <w:rFonts w:ascii="仿宋_GB2312" w:hAnsi="宋体" w:eastAsia="仿宋_GB2312"/>
          <w:bCs/>
          <w:kern w:val="0"/>
          <w:sz w:val="24"/>
          <w:szCs w:val="28"/>
        </w:rPr>
        <w:t>6</w:t>
      </w:r>
      <w:r>
        <w:rPr>
          <w:rFonts w:hint="eastAsia" w:ascii="仿宋_GB2312" w:hAnsi="宋体" w:eastAsia="仿宋_GB2312"/>
          <w:bCs/>
          <w:kern w:val="0"/>
          <w:sz w:val="24"/>
          <w:szCs w:val="28"/>
        </w:rPr>
        <w:t>年大学生基础科研训练计划</w:t>
      </w:r>
      <w:r>
        <w:rPr>
          <w:rFonts w:hint="eastAsia" w:ascii="仿宋_GB2312" w:hAnsi="宋体" w:eastAsia="仿宋_GB2312"/>
          <w:bCs/>
          <w:kern w:val="0"/>
          <w:sz w:val="24"/>
          <w:szCs w:val="28"/>
          <w:lang w:eastAsia="zh-CN"/>
        </w:rPr>
        <w:t>延期</w:t>
      </w:r>
      <w:r>
        <w:rPr>
          <w:rFonts w:hint="eastAsia" w:ascii="仿宋_GB2312" w:hAnsi="宋体" w:eastAsia="仿宋_GB2312"/>
          <w:bCs/>
          <w:kern w:val="0"/>
          <w:sz w:val="24"/>
          <w:szCs w:val="28"/>
        </w:rPr>
        <w:t>结题</w:t>
      </w:r>
      <w:r>
        <w:rPr>
          <w:rFonts w:hint="eastAsia" w:ascii="仿宋_GB2312" w:hAnsi="宋体" w:eastAsia="仿宋_GB2312"/>
          <w:bCs/>
          <w:kern w:val="0"/>
          <w:sz w:val="24"/>
          <w:szCs w:val="28"/>
          <w:lang w:eastAsia="zh-CN"/>
        </w:rPr>
        <w:t>项目</w:t>
      </w:r>
    </w:p>
    <w:p>
      <w:pPr>
        <w:widowControl/>
        <w:rPr>
          <w:rFonts w:ascii="仿宋_GB2312" w:hAnsi="仿宋" w:eastAsia="仿宋_GB2312" w:cs="Times New Roman"/>
          <w:sz w:val="28"/>
          <w:szCs w:val="20"/>
        </w:rPr>
      </w:pPr>
    </w:p>
    <w:p>
      <w:pPr>
        <w:widowControl/>
        <w:rPr>
          <w:rFonts w:ascii="仿宋_GB2312" w:hAnsi="仿宋" w:eastAsia="仿宋_GB2312" w:cs="Times New Roman"/>
          <w:sz w:val="28"/>
          <w:szCs w:val="20"/>
        </w:rPr>
      </w:pPr>
    </w:p>
    <w:p>
      <w:pPr>
        <w:widowControl/>
        <w:jc w:val="distribute"/>
        <w:rPr>
          <w:rFonts w:hint="eastAsia" w:ascii="仿宋_GB2312" w:hAnsi="仿宋" w:eastAsia="仿宋_GB2312" w:cs="Times New Roman"/>
          <w:b w:val="0"/>
          <w:bCs/>
          <w:sz w:val="28"/>
          <w:szCs w:val="20"/>
        </w:rPr>
      </w:pPr>
      <w:r>
        <w:rPr>
          <w:rFonts w:hint="eastAsia" w:ascii="仿宋_GB2312" w:hAnsi="仿宋" w:eastAsia="仿宋_GB2312" w:cs="Times New Roman"/>
          <w:b/>
          <w:sz w:val="28"/>
          <w:szCs w:val="20"/>
        </w:rPr>
        <w:t xml:space="preserve">                         </w:t>
      </w:r>
      <w:r>
        <w:rPr>
          <w:rFonts w:hint="eastAsia" w:ascii="仿宋_GB2312" w:hAnsi="仿宋" w:eastAsia="仿宋_GB2312" w:cs="Times New Roman"/>
          <w:b w:val="0"/>
          <w:bCs/>
          <w:sz w:val="28"/>
          <w:szCs w:val="20"/>
        </w:rPr>
        <w:t>共青团中国地质大学（武汉）委员会</w:t>
      </w:r>
    </w:p>
    <w:p>
      <w:pPr>
        <w:widowControl/>
        <w:jc w:val="right"/>
        <w:rPr>
          <w:rFonts w:hint="eastAsia" w:ascii="仿宋_GB2312" w:hAnsi="仿宋" w:eastAsia="仿宋_GB2312" w:cs="Times New Roman"/>
          <w:b w:val="0"/>
          <w:bCs/>
          <w:sz w:val="28"/>
          <w:szCs w:val="20"/>
          <w:lang w:eastAsia="zh-CN"/>
        </w:rPr>
      </w:pPr>
      <w:r>
        <w:rPr>
          <w:rFonts w:hint="eastAsia" w:ascii="仿宋_GB2312" w:hAnsi="仿宋" w:eastAsia="仿宋_GB2312" w:cs="Times New Roman"/>
          <w:b w:val="0"/>
          <w:bCs/>
          <w:sz w:val="28"/>
          <w:szCs w:val="20"/>
          <w:lang w:eastAsia="zh-CN"/>
        </w:rPr>
        <w:t>中国地质大学（武汉）大学生科学技术协会</w:t>
      </w:r>
    </w:p>
    <w:p>
      <w:pPr>
        <w:widowControl/>
        <w:jc w:val="center"/>
        <w:rPr>
          <w:rFonts w:hint="eastAsia" w:ascii="仿宋_GB2312" w:hAnsi="仿宋" w:eastAsia="仿宋_GB2312" w:cs="Times New Roman"/>
          <w:b w:val="0"/>
          <w:bCs/>
          <w:sz w:val="28"/>
          <w:szCs w:val="20"/>
        </w:rPr>
      </w:pPr>
      <w:r>
        <w:rPr>
          <w:rFonts w:hint="eastAsia" w:ascii="仿宋_GB2312" w:hAnsi="仿宋" w:eastAsia="仿宋_GB2312" w:cs="Times New Roman"/>
          <w:b w:val="0"/>
          <w:bCs/>
          <w:sz w:val="28"/>
          <w:szCs w:val="20"/>
        </w:rPr>
        <w:t xml:space="preserve">                    </w:t>
      </w:r>
      <w:r>
        <w:rPr>
          <w:rFonts w:ascii="仿宋_GB2312" w:hAnsi="仿宋" w:eastAsia="仿宋_GB2312" w:cs="Times New Roman"/>
          <w:b w:val="0"/>
          <w:bCs/>
          <w:sz w:val="28"/>
          <w:szCs w:val="20"/>
        </w:rPr>
        <w:t xml:space="preserve">   </w:t>
      </w:r>
      <w:r>
        <w:rPr>
          <w:rFonts w:hint="eastAsia" w:ascii="仿宋_GB2312" w:hAnsi="仿宋" w:eastAsia="仿宋_GB2312" w:cs="Times New Roman"/>
          <w:b w:val="0"/>
          <w:bCs/>
          <w:sz w:val="28"/>
          <w:szCs w:val="20"/>
        </w:rPr>
        <w:t xml:space="preserve"> 二○一七年九月</w:t>
      </w:r>
      <w:r>
        <w:rPr>
          <w:rFonts w:hint="eastAsia" w:ascii="仿宋_GB2312" w:hAnsi="仿宋" w:eastAsia="仿宋_GB2312" w:cs="Times New Roman"/>
          <w:b w:val="0"/>
          <w:bCs/>
          <w:sz w:val="28"/>
          <w:szCs w:val="20"/>
          <w:lang w:eastAsia="zh-CN"/>
        </w:rPr>
        <w:t>十一</w:t>
      </w:r>
      <w:r>
        <w:rPr>
          <w:rFonts w:hint="eastAsia" w:ascii="仿宋_GB2312" w:hAnsi="仿宋" w:eastAsia="仿宋_GB2312" w:cs="Times New Roman"/>
          <w:b w:val="0"/>
          <w:bCs/>
          <w:sz w:val="28"/>
          <w:szCs w:val="20"/>
        </w:rPr>
        <w:t>日</w:t>
      </w:r>
    </w:p>
    <w:p>
      <w:pPr>
        <w:widowControl/>
        <w:jc w:val="both"/>
        <w:rPr>
          <w:rFonts w:hint="eastAsia" w:ascii="仿宋_GB2312" w:hAnsi="仿宋" w:eastAsia="仿宋_GB2312" w:cs="Times New Roman"/>
          <w:b/>
          <w:sz w:val="28"/>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宋体" w:hAnsi="宋体"/>
          <w:b/>
          <w:kern w:val="0"/>
          <w:sz w:val="28"/>
          <w:szCs w:val="28"/>
        </w:rPr>
      </w:pPr>
      <w:r>
        <w:rPr>
          <w:rFonts w:hint="eastAsia" w:ascii="黑体" w:hAnsi="宋体" w:eastAsia="黑体"/>
          <w:b/>
          <w:bCs/>
          <w:kern w:val="0"/>
          <w:sz w:val="28"/>
          <w:szCs w:val="28"/>
        </w:rPr>
        <w:t>主题词：</w:t>
      </w:r>
      <w:r>
        <w:rPr>
          <w:rFonts w:hint="eastAsia" w:ascii="宋体" w:hAnsi="宋体"/>
          <w:b/>
          <w:kern w:val="0"/>
          <w:sz w:val="28"/>
          <w:szCs w:val="28"/>
        </w:rPr>
        <w:t xml:space="preserve">基础科研训练计划  </w:t>
      </w:r>
      <w:r>
        <w:rPr>
          <w:rFonts w:hint="eastAsia" w:ascii="宋体" w:hAnsi="宋体"/>
          <w:b/>
          <w:kern w:val="0"/>
          <w:sz w:val="28"/>
          <w:szCs w:val="28"/>
          <w:lang w:eastAsia="zh-CN"/>
        </w:rPr>
        <w:t>结题</w:t>
      </w:r>
      <w:r>
        <w:rPr>
          <w:rFonts w:hint="eastAsia" w:ascii="宋体" w:hAnsi="宋体"/>
          <w:b/>
          <w:kern w:val="0"/>
          <w:sz w:val="28"/>
          <w:szCs w:val="28"/>
        </w:rPr>
        <w:t xml:space="preserve">  通知</w:t>
      </w:r>
    </w:p>
    <w:p>
      <w:pPr>
        <w:spacing w:line="500" w:lineRule="exact"/>
        <w:rPr>
          <w:rFonts w:ascii="仿宋_GB2312" w:hAnsi="宋体" w:eastAsia="仿宋_GB2312"/>
          <w:b/>
          <w:color w:val="000000"/>
          <w:spacing w:val="-24"/>
          <w:kern w:val="0"/>
          <w:sz w:val="32"/>
          <w:szCs w:val="32"/>
        </w:rPr>
      </w:pPr>
      <w:r>
        <w:rPr>
          <w:rFonts w:ascii="仿宋" w:hAnsi="仿宋" w:eastAsia="仿宋_GB2312" w:cs="Times New Roman"/>
          <w:color w:val="000000"/>
          <w:sz w:val="28"/>
          <w:szCs w:val="28"/>
        </w:rPr>
        <mc:AlternateContent>
          <mc:Choice Requires="wps">
            <w:drawing>
              <wp:anchor distT="0" distB="0" distL="0" distR="0" simplePos="0" relativeHeight="251657216" behindDoc="0" locked="0" layoutInCell="1" allowOverlap="1">
                <wp:simplePos x="0" y="0"/>
                <wp:positionH relativeFrom="column">
                  <wp:posOffset>0</wp:posOffset>
                </wp:positionH>
                <wp:positionV relativeFrom="paragraph">
                  <wp:posOffset>31115</wp:posOffset>
                </wp:positionV>
                <wp:extent cx="5623560" cy="5080"/>
                <wp:effectExtent l="0" t="0" r="0" b="0"/>
                <wp:wrapNone/>
                <wp:docPr id="5" name="1030"/>
                <wp:cNvGraphicFramePr/>
                <a:graphic xmlns:a="http://schemas.openxmlformats.org/drawingml/2006/main">
                  <a:graphicData uri="http://schemas.microsoft.com/office/word/2010/wordprocessingShape">
                    <wps:wsp>
                      <wps:cNvCnPr>
                        <a:cxnSpLocks noChangeShapeType="1"/>
                      </wps:cNvCnPr>
                      <wps:spPr bwMode="auto">
                        <a:xfrm flipV="1">
                          <a:off x="0" y="0"/>
                          <a:ext cx="5623560" cy="5080"/>
                        </a:xfrm>
                        <a:prstGeom prst="line">
                          <a:avLst/>
                        </a:prstGeom>
                        <a:noFill/>
                        <a:ln w="9525">
                          <a:solidFill>
                            <a:srgbClr val="000000"/>
                          </a:solidFill>
                          <a:round/>
                        </a:ln>
                      </wps:spPr>
                      <wps:bodyPr/>
                    </wps:wsp>
                  </a:graphicData>
                </a:graphic>
              </wp:anchor>
            </w:drawing>
          </mc:Choice>
          <mc:Fallback>
            <w:pict>
              <v:line id="1030" o:spid="_x0000_s1026" o:spt="20" style="position:absolute;left:0pt;flip:y;margin-left:0pt;margin-top:2.45pt;height:0.4pt;width:442.8pt;z-index:251657216;mso-width-relative:page;mso-height-relative:page;" filled="f" stroked="t" coordsize="21600,21600" o:gfxdata="UEsDBAoAAAAAAIdO4kAAAAAAAAAAAAAAAAAEAAAAZHJzL1BLAwQUAAAACACHTuJAsLNT2tQAAAAE&#10;AQAADwAAAGRycy9kb3ducmV2LnhtbE2PwU7DMBBE70j8g7VI3KjdQksasqkQAi5IlShpz068JBH2&#10;OordtPw95gTH0Yxm3hSbs7NiojH0nhHmMwWCuPGm5xah+ni5yUCEqNlo65kQvinApry8KHRu/Inf&#10;adrFVqQSDrlG6GIccilD05HTYeYH4uR9+tHpmOTYSjPqUyp3Vi6UWkmne04LnR7oqaPma3d0CI+H&#10;t+fb7VQ7b826rfbGVep1gXh9NVcPICKd418YfvETOpSJqfZHNkFYhHQkItytQSQzy5YrEDXC8h5k&#10;Wcj/8OUPUEsDBBQAAAAIAIdO4kDe6bInuAEAAFwDAAAOAAAAZHJzL2Uyb0RvYy54bWytU01vGyEQ&#10;vVfqf0Dca9aO1kpXXufgKL2kraWkvWM+dlGBQQz2rv99gbhO2t6q7gEtzMzjvTfD5m52lpxURAO+&#10;p8tFQ4nyAqTxQ0+/PT98uKUEE/eSW/Cqp2eF9G77/t1mCp1awQhWqkgyiMduCj0dUwodYyhG5Tgu&#10;ICifgxqi4ylv48Bk5FNGd5atmmbNJogyRBAKMZ/evwTptuJrrUT6qjWqRGxPM7dU11jXQ1nZdsO7&#10;IfIwGnGhwf+BhePG50uvUPc8cXKM5i8oZ0QEBJ0WAhwDrY1QVUNWs2z+UPM08qCqlmwOhqtN+P9g&#10;xZfTPhIje9pS4rnLLVo2N9WXKWCXwzu/j0WZmP1TeATxA4mH3cj9oCq/53MoRcVJ9ltJ2WDI6Ifp&#10;M8icw48Jqkmzjo5oa8L3UljAsxFkrl05X7ui5kREPmzXq5t2nZsncqxtbis5xruCUmpDxPRJgSPl&#10;p6fW+OIZ7/jpEVNh9ZpSjj08GGtr360nU08/tqu2FiBYI0uwpGEcDjsbyYmXyalflZgjb9MiHL18&#10;ucT6iwNFdBlA7A4gz/v4y5ncwsrmMm5lRt7ua/Xro9j+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CzU9rUAAAABAEAAA8AAAAAAAAAAQAgAAAAIgAAAGRycy9kb3ducmV2LnhtbFBLAQIUABQAAAAI&#10;AIdO4kDe6bInuAEAAFwDAAAOAAAAAAAAAAEAIAAAACMBAABkcnMvZTJvRG9jLnhtbFBLBQYAAAAA&#10;BgAGAFkBAABNBQAAAAA=&#10;">
                <v:fill on="f" focussize="0,0"/>
                <v:stroke color="#000000" joinstyle="round"/>
                <v:imagedata o:title=""/>
                <o:lock v:ext="edit" aspectratio="f"/>
              </v:line>
            </w:pict>
          </mc:Fallback>
        </mc:AlternateContent>
      </w:r>
      <w:r>
        <w:rPr>
          <w:rFonts w:hint="eastAsia" w:ascii="仿宋" w:hAnsi="仿宋" w:eastAsia="仿宋_GB2312" w:cs="Times New Roman"/>
          <w:color w:val="000000"/>
          <w:sz w:val="28"/>
          <w:szCs w:val="28"/>
        </w:rPr>
        <w:t>抄送：各学院（课部）团委、各学生组织</w:t>
      </w:r>
    </w:p>
    <w:p>
      <w:pPr>
        <w:spacing w:line="500" w:lineRule="exact"/>
        <w:rPr>
          <w:rFonts w:ascii="仿宋" w:hAnsi="仿宋" w:eastAsia="仿宋_GB2312" w:cs="Times New Roman"/>
          <w:color w:val="000000"/>
          <w:spacing w:val="-4"/>
          <w:sz w:val="28"/>
          <w:szCs w:val="28"/>
        </w:rPr>
      </w:pPr>
      <w:r>
        <w:rPr>
          <w:rFonts w:ascii="仿宋" w:hAnsi="仿宋" w:eastAsia="仿宋_GB2312" w:cs="Times New Roman"/>
          <w:color w:val="000000"/>
          <w:spacing w:val="-4"/>
          <w:sz w:val="28"/>
          <w:szCs w:val="28"/>
        </w:rPr>
        <mc:AlternateContent>
          <mc:Choice Requires="wps">
            <w:drawing>
              <wp:anchor distT="0" distB="0" distL="0" distR="0" simplePos="0" relativeHeight="251658240" behindDoc="0" locked="0" layoutInCell="1" allowOverlap="1">
                <wp:simplePos x="0" y="0"/>
                <wp:positionH relativeFrom="column">
                  <wp:posOffset>0</wp:posOffset>
                </wp:positionH>
                <wp:positionV relativeFrom="paragraph">
                  <wp:posOffset>41910</wp:posOffset>
                </wp:positionV>
                <wp:extent cx="5623560" cy="2540"/>
                <wp:effectExtent l="0" t="0" r="0" b="0"/>
                <wp:wrapNone/>
                <wp:docPr id="4" name="1031"/>
                <wp:cNvGraphicFramePr/>
                <a:graphic xmlns:a="http://schemas.openxmlformats.org/drawingml/2006/main">
                  <a:graphicData uri="http://schemas.microsoft.com/office/word/2010/wordprocessingShape">
                    <wps:wsp>
                      <wps:cNvCnPr>
                        <a:cxnSpLocks noChangeShapeType="1"/>
                      </wps:cNvCnPr>
                      <wps:spPr bwMode="auto">
                        <a:xfrm flipV="1">
                          <a:off x="0" y="0"/>
                          <a:ext cx="5623560" cy="2540"/>
                        </a:xfrm>
                        <a:prstGeom prst="line">
                          <a:avLst/>
                        </a:prstGeom>
                        <a:noFill/>
                        <a:ln w="9525">
                          <a:solidFill>
                            <a:srgbClr val="000000"/>
                          </a:solidFill>
                          <a:round/>
                        </a:ln>
                      </wps:spPr>
                      <wps:bodyPr/>
                    </wps:wsp>
                  </a:graphicData>
                </a:graphic>
              </wp:anchor>
            </w:drawing>
          </mc:Choice>
          <mc:Fallback>
            <w:pict>
              <v:line id="1031" o:spid="_x0000_s1026" o:spt="20" style="position:absolute;left:0pt;flip:y;margin-left:0pt;margin-top:3.3pt;height:0.2pt;width:442.8pt;z-index:251658240;mso-width-relative:page;mso-height-relative:page;" filled="f" stroked="t" coordsize="21600,21600" o:gfxdata="UEsDBAoAAAAAAIdO4kAAAAAAAAAAAAAAAAAEAAAAZHJzL1BLAwQUAAAACACHTuJAoi0/YtMAAAAE&#10;AQAADwAAAGRycy9kb3ducmV2LnhtbE2PQUvEMBCF74L/IYzgzU12xVprp4uIehEE1+o5bca22ExK&#10;k+2u/97xpLd5vMd735Tbox/VQnMcAiOsVwYUcRvcwB1C/fZ4kYOKybKzY2BC+KYI2+r0pLSFCwd+&#10;pWWXOiUlHAuL0Kc0FVrHtidv4ypMxOJ9htnbJHLutJvtQcr9qDfGZNrbgWWhtxPd99R+7fYe4e7j&#10;+eHyZWl8GN1NV787X5unDeL52drcgkp0TH9h+MUXdKiEqQl7dlGNCPJIQsgyUGLm+ZUcDcK1AV2V&#10;+j989QNQSwMEFAAAAAgAh07iQDZWDSi4AQAAXAMAAA4AAABkcnMvZTJvRG9jLnhtbK1Ty27bMBC8&#10;F+g/ELzXkpXIaAXLOThIL2lrIGnvNB8SUZJLkLQl/325tOOk7a2oDoTI3RntzFDru9kacpQhanA9&#10;XS5qSqTjILQbevr9+eHDR0piYk4wA0729CQjvdu8f7eefCcbGMEIGUgmcbGbfE/HlHxXVZGP0rK4&#10;AC9dLioIlqW8DUMlApsyuzVVU9eraoIgfAAuY8yn9+ci3RR+pSRP35SKMhHT0zxbKmso6x7XarNm&#10;3RCYHzW/jMH+YQrLtMsfvVLds8TIIei/qKzmASKotOBgK1BKc1k0ZDXL+g81TyPzsmjJ5kR/tSn+&#10;P1r+9bgLRIue3lLimM0RLeubJfoy+djl8tbtAirjs3vyj8B/RuJgOzI3yDLf88kjCBHVbxDcRJ/Z&#10;99MXELmHHRIUk2YVLFFG+x8IRPJsBJlLKqdrKnJOhOfDdtXctKscHs+1pr0toVWsQxbE+hDTZwmW&#10;4EtPjXboGevY8TEmnOq1BY8dPGhjSu7Gkamnn9qmLYAIRgssYlsMw35rAjkyvDnlKRJz5W1bgIMT&#10;548Yd3EARZ/t24M47cKLMznCMs3luuEdebsv6NefYvM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i0/YtMAAAAEAQAADwAAAAAAAAABACAAAAAiAAAAZHJzL2Rvd25yZXYueG1sUEsBAhQAFAAAAAgA&#10;h07iQDZWDSi4AQAAXAMAAA4AAAAAAAAAAQAgAAAAIgEAAGRycy9lMm9Eb2MueG1sUEsFBgAAAAAG&#10;AAYAWQEAAEwFAAAAAA==&#10;">
                <v:fill on="f" focussize="0,0"/>
                <v:stroke color="#000000" joinstyle="round"/>
                <v:imagedata o:title=""/>
                <o:lock v:ext="edit" aspectratio="f"/>
              </v:line>
            </w:pict>
          </mc:Fallback>
        </mc:AlternateContent>
      </w:r>
      <w:r>
        <w:rPr>
          <w:rFonts w:hint="eastAsia" w:ascii="仿宋" w:hAnsi="仿宋" w:eastAsia="仿宋_GB2312" w:cs="Times New Roman"/>
          <w:color w:val="000000"/>
          <w:spacing w:val="-4"/>
          <w:sz w:val="28"/>
          <w:szCs w:val="28"/>
        </w:rPr>
        <w:t>共青团中国地质大学（武汉）委员会              201</w:t>
      </w:r>
      <w:r>
        <w:rPr>
          <w:rFonts w:ascii="仿宋" w:hAnsi="仿宋" w:eastAsia="仿宋_GB2312" w:cs="Times New Roman"/>
          <w:color w:val="000000"/>
          <w:spacing w:val="-4"/>
          <w:sz w:val="28"/>
          <w:szCs w:val="28"/>
        </w:rPr>
        <w:t>7</w:t>
      </w:r>
      <w:r>
        <w:rPr>
          <w:rFonts w:hint="eastAsia" w:ascii="仿宋" w:hAnsi="仿宋" w:eastAsia="仿宋_GB2312" w:cs="Times New Roman"/>
          <w:color w:val="000000"/>
          <w:spacing w:val="-4"/>
          <w:sz w:val="28"/>
          <w:szCs w:val="28"/>
        </w:rPr>
        <w:t>年9月</w:t>
      </w:r>
      <w:r>
        <w:rPr>
          <w:rFonts w:hint="eastAsia" w:ascii="仿宋" w:hAnsi="仿宋" w:eastAsia="仿宋_GB2312" w:cs="Times New Roman"/>
          <w:color w:val="000000"/>
          <w:spacing w:val="-4"/>
          <w:sz w:val="28"/>
          <w:szCs w:val="28"/>
          <w:lang w:val="en-US" w:eastAsia="zh-CN"/>
        </w:rPr>
        <w:t>11</w:t>
      </w:r>
      <w:r>
        <w:rPr>
          <w:rFonts w:hint="eastAsia" w:ascii="仿宋" w:hAnsi="仿宋" w:eastAsia="仿宋_GB2312" w:cs="Times New Roman"/>
          <w:color w:val="000000"/>
          <w:spacing w:val="-4"/>
          <w:sz w:val="28"/>
          <w:szCs w:val="28"/>
        </w:rPr>
        <w:t>日印发</w:t>
      </w:r>
    </w:p>
    <w:p>
      <w:pPr>
        <w:spacing w:line="500" w:lineRule="exact"/>
        <w:ind w:firstLine="562" w:firstLineChars="200"/>
        <w:rPr>
          <w:rFonts w:hint="eastAsia" w:ascii="仿宋_GB2312" w:hAnsi="仿宋" w:eastAsia="仿宋_GB2312" w:cs="Times New Roman"/>
          <w:b/>
          <w:sz w:val="28"/>
          <w:szCs w:val="20"/>
        </w:rPr>
      </w:pPr>
      <w:r>
        <w:rPr>
          <w:rFonts w:ascii="仿宋" w:hAnsi="仿宋" w:eastAsia="仿宋_GB2312" w:cs="Times New Roman"/>
          <w:b/>
          <w:sz w:val="28"/>
          <w:szCs w:val="28"/>
        </w:rPr>
        <mc:AlternateContent>
          <mc:Choice Requires="wps">
            <w:drawing>
              <wp:anchor distT="0" distB="0" distL="0" distR="0" simplePos="0" relativeHeight="251658240" behindDoc="0" locked="0" layoutInCell="1" allowOverlap="1">
                <wp:simplePos x="0" y="0"/>
                <wp:positionH relativeFrom="column">
                  <wp:posOffset>635</wp:posOffset>
                </wp:positionH>
                <wp:positionV relativeFrom="paragraph">
                  <wp:posOffset>41910</wp:posOffset>
                </wp:positionV>
                <wp:extent cx="5644515" cy="5080"/>
                <wp:effectExtent l="0" t="0" r="0" b="0"/>
                <wp:wrapNone/>
                <wp:docPr id="3" name="1032"/>
                <wp:cNvGraphicFramePr/>
                <a:graphic xmlns:a="http://schemas.openxmlformats.org/drawingml/2006/main">
                  <a:graphicData uri="http://schemas.microsoft.com/office/word/2010/wordprocessingShape">
                    <wps:wsp>
                      <wps:cNvCnPr>
                        <a:cxnSpLocks noChangeShapeType="1"/>
                      </wps:cNvCnPr>
                      <wps:spPr bwMode="auto">
                        <a:xfrm flipV="1">
                          <a:off x="0" y="0"/>
                          <a:ext cx="5644515" cy="5080"/>
                        </a:xfrm>
                        <a:prstGeom prst="line">
                          <a:avLst/>
                        </a:prstGeom>
                        <a:noFill/>
                        <a:ln w="9525">
                          <a:solidFill>
                            <a:srgbClr val="000000"/>
                          </a:solidFill>
                          <a:round/>
                        </a:ln>
                      </wps:spPr>
                      <wps:bodyPr/>
                    </wps:wsp>
                  </a:graphicData>
                </a:graphic>
              </wp:anchor>
            </w:drawing>
          </mc:Choice>
          <mc:Fallback>
            <w:pict>
              <v:line id="1032" o:spid="_x0000_s1026" o:spt="20" style="position:absolute;left:0pt;flip:y;margin-left:0.05pt;margin-top:3.3pt;height:0.4pt;width:444.45pt;z-index:251658240;mso-width-relative:page;mso-height-relative:page;" filled="f" stroked="t" coordsize="21600,21600" o:gfxdata="UEsDBAoAAAAAAIdO4kAAAAAAAAAAAAAAAAAEAAAAZHJzL1BLAwQUAAAACACHTuJA0MRzttMAAAAE&#10;AQAADwAAAGRycy9kb3ducmV2LnhtbE2PwU7DMBBE70j8g7VI3KjdgkKaxqkQAi5ISJTQsxMvSYS9&#10;jmI3LX/P9gTH0Yxm3pTbk3dixikOgTQsFwoEUhvsQJ2G+uP5JgcRkyFrXCDU8IMRttXlRWkKG470&#10;jvMudYJLKBZGQ5/SWEgZ2x69iYswIrH3FSZvEsupk3YyRy73Tq6UyqQ3A/FCb0Z87LH93h28hof9&#10;69Pt29z44Oy6qz+tr9XLSuvrq6XagEh4Sn9hOOMzOlTM1IQD2SjcWYukIctAsJnnaz7WaLi/A1mV&#10;8j989QtQSwMEFAAAAAgAh07iQOFljSm4AQAAXAMAAA4AAABkcnMvZTJvRG9jLnhtbK1TTW8bIRC9&#10;V8p/QNzrXTvZKFl5nYOj5JK0lpLmjvnYRQUGAfau/30Z7Dppequ6B7TDzHvMewPLu8kaspchanAd&#10;nc9qSqTjILTrO/rj9eHrDSUxMSeYASc7epCR3q0uvixH38oFDGCEDCSTuNiOvqNDSr6tqsgHaVmc&#10;gZcuJxUEy1IOQ1+JwMbMbk21qOvraoQgfAAuY8y798ckXRV+pSRP35WKMhHT0dxbKmso6xbXarVk&#10;bR+YHzQ/tcH+oQvLtMuHnqnuWWJkF/RfVFbzABFUmnGwFSiluSwaspp5/UnNy8C8LFqyOdGfbYr/&#10;j5Z/228C0aKjl5Q4ZvOI5vXlAn0ZfWxzeu02AZXxyb34J+A/I3GwHpjrZenv9eARhIjqDwgG0Wf2&#10;7fgMItewXYJi0qSCJcpo/4ZAJM9GkKlM5XCeipwS4Xmzub66auYNJTznmvqmDK1iLbIg1oeYHiVY&#10;gj8dNdqhZ6xl+6eYsKv3Etx28KCNKXM3jowdvW0WTQFEMFpgEsti6LdrE8ie4c0pX5GYMx/LAuyc&#10;OB5i3MkBFH20bwvisAm/nckjLN2crhvekY9xQb8/it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MRzttMAAAAEAQAADwAAAAAAAAABACAAAAAiAAAAZHJzL2Rvd25yZXYueG1sUEsBAhQAFAAAAAgA&#10;h07iQOFljSm4AQAAXAMAAA4AAAAAAAAAAQAgAAAAIgEAAGRycy9lMm9Eb2MueG1sUEsFBgAAAAAG&#10;AAYAWQEAAEwFAAAAAA==&#10;">
                <v:fill on="f" focussize="0,0"/>
                <v:stroke color="#000000" joinstyle="round"/>
                <v:imagedata o:title=""/>
                <o:lock v:ext="edit" aspectratio="f"/>
              </v:line>
            </w:pict>
          </mc:Fallback>
        </mc:AlternateContent>
      </w:r>
      <w:r>
        <w:rPr>
          <w:rFonts w:hint="eastAsia" w:ascii="仿宋" w:hAnsi="仿宋" w:eastAsia="仿宋_GB2312" w:cs="Times New Roman"/>
          <w:b/>
          <w:sz w:val="28"/>
          <w:szCs w:val="28"/>
        </w:rPr>
        <w:t>　　　　　　　　　                            共印25份</w:t>
      </w:r>
    </w:p>
    <w:p>
      <w:pPr>
        <w:widowControl/>
        <w:jc w:val="both"/>
        <w:rPr>
          <w:rFonts w:hint="eastAsia" w:ascii="仿宋_GB2312" w:hAnsi="仿宋" w:eastAsia="仿宋_GB2312" w:cs="Times New Roman"/>
          <w:b/>
          <w:sz w:val="28"/>
          <w:szCs w:val="20"/>
        </w:rPr>
      </w:pPr>
    </w:p>
    <w:p>
      <w:pPr>
        <w:spacing w:line="500" w:lineRule="exact"/>
        <w:rPr>
          <w:rFonts w:ascii="仿宋" w:hAnsi="仿宋" w:eastAsia="仿宋_GB2312" w:cs="Times New Roman"/>
          <w:b/>
          <w:sz w:val="28"/>
          <w:szCs w:val="28"/>
        </w:rPr>
        <w:sectPr>
          <w:headerReference r:id="rId4" w:type="first"/>
          <w:footerReference r:id="rId6" w:type="first"/>
          <w:headerReference r:id="rId3" w:type="default"/>
          <w:footerReference r:id="rId5" w:type="default"/>
          <w:pgSz w:w="11906" w:h="16838"/>
          <w:pgMar w:top="1418" w:right="1531" w:bottom="1310" w:left="1531" w:header="851" w:footer="992" w:gutter="0"/>
          <w:cols w:space="720" w:num="1"/>
          <w:titlePg/>
          <w:docGrid w:type="lines" w:linePitch="312" w:charSpace="0"/>
        </w:sectPr>
      </w:pPr>
    </w:p>
    <w:p>
      <w:pPr>
        <w:spacing w:line="500" w:lineRule="exact"/>
        <w:jc w:val="both"/>
        <w:rPr>
          <w:rFonts w:hint="eastAsia" w:ascii="宋体" w:hAnsi="宋体" w:cs="Tahoma"/>
          <w:b/>
          <w:kern w:val="0"/>
          <w:sz w:val="30"/>
          <w:szCs w:val="30"/>
        </w:rPr>
      </w:pPr>
      <w:r>
        <w:rPr>
          <w:rFonts w:hint="eastAsia" w:ascii="宋体" w:hAnsi="宋体" w:cs="Tahoma"/>
          <w:b/>
          <w:kern w:val="0"/>
          <w:sz w:val="30"/>
          <w:szCs w:val="30"/>
        </w:rPr>
        <w:t>附件</w:t>
      </w:r>
      <w:r>
        <w:rPr>
          <w:rFonts w:hint="eastAsia" w:ascii="宋体" w:hAnsi="宋体" w:cs="Tahoma"/>
          <w:b/>
          <w:kern w:val="0"/>
          <w:sz w:val="30"/>
          <w:szCs w:val="30"/>
          <w:lang w:eastAsia="zh-CN"/>
        </w:rPr>
        <w:t>一</w:t>
      </w:r>
      <w:r>
        <w:rPr>
          <w:rFonts w:hint="eastAsia" w:ascii="宋体" w:hAnsi="宋体" w:cs="Tahoma"/>
          <w:b/>
          <w:kern w:val="0"/>
          <w:sz w:val="30"/>
          <w:szCs w:val="30"/>
        </w:rPr>
        <w:t>：</w:t>
      </w:r>
    </w:p>
    <w:p>
      <w:pPr>
        <w:spacing w:line="500" w:lineRule="exact"/>
        <w:jc w:val="center"/>
        <w:rPr>
          <w:rFonts w:ascii="宋体" w:hAnsi="宋体" w:cs="Tahoma"/>
          <w:b/>
          <w:kern w:val="0"/>
          <w:sz w:val="28"/>
          <w:szCs w:val="24"/>
        </w:rPr>
      </w:pPr>
      <w:r>
        <w:rPr>
          <w:rFonts w:hint="eastAsia" w:ascii="宋体" w:hAnsi="宋体" w:cs="Tahoma"/>
          <w:b/>
          <w:kern w:val="0"/>
          <w:sz w:val="30"/>
          <w:szCs w:val="30"/>
        </w:rPr>
        <w:t>中国地质大学2016年大学生基础科研训练计划</w:t>
      </w:r>
      <w:r>
        <w:rPr>
          <w:rFonts w:hint="eastAsia" w:ascii="宋体" w:hAnsi="宋体" w:cs="Tahoma"/>
          <w:b/>
          <w:kern w:val="0"/>
          <w:sz w:val="30"/>
          <w:szCs w:val="30"/>
          <w:lang w:eastAsia="zh-CN"/>
        </w:rPr>
        <w:t>结题项目</w:t>
      </w:r>
    </w:p>
    <w:tbl>
      <w:tblPr>
        <w:tblStyle w:val="6"/>
        <w:tblW w:w="139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6"/>
        <w:gridCol w:w="1369"/>
        <w:gridCol w:w="2073"/>
        <w:gridCol w:w="6231"/>
        <w:gridCol w:w="1294"/>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656" w:type="dxa"/>
            <w:shd w:val="clear" w:color="000000" w:fill="FFFF99"/>
            <w:vAlign w:val="center"/>
          </w:tcPr>
          <w:p>
            <w:pPr>
              <w:widowControl/>
              <w:jc w:val="center"/>
              <w:rPr>
                <w:rFonts w:ascii="宋体" w:hAnsi="宋体"/>
                <w:b/>
                <w:bCs/>
                <w:kern w:val="0"/>
                <w:sz w:val="24"/>
                <w:szCs w:val="24"/>
              </w:rPr>
            </w:pPr>
            <w:bookmarkStart w:id="0" w:name="_Hlk484379728"/>
            <w:r>
              <w:rPr>
                <w:rFonts w:hint="eastAsia" w:ascii="宋体" w:hAnsi="宋体"/>
                <w:b/>
                <w:bCs/>
                <w:kern w:val="0"/>
                <w:sz w:val="24"/>
                <w:szCs w:val="24"/>
              </w:rPr>
              <w:t>项目编号</w:t>
            </w:r>
          </w:p>
        </w:tc>
        <w:tc>
          <w:tcPr>
            <w:tcW w:w="1369"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学院</w:t>
            </w:r>
          </w:p>
        </w:tc>
        <w:tc>
          <w:tcPr>
            <w:tcW w:w="2073"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申报类别</w:t>
            </w:r>
          </w:p>
        </w:tc>
        <w:tc>
          <w:tcPr>
            <w:tcW w:w="6231"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项目名称</w:t>
            </w:r>
          </w:p>
        </w:tc>
        <w:tc>
          <w:tcPr>
            <w:tcW w:w="1294"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负责人</w:t>
            </w:r>
          </w:p>
        </w:tc>
        <w:tc>
          <w:tcPr>
            <w:tcW w:w="1291"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指导老师</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1610491001</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IODP353航次U1444站位沉积物中自生黄铁矿发育特征及其成因探究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曹  炀</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云南“元谋人”遗址宇生核素埋藏测年研究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闫超阳</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赖忠平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1610491003</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克什米尔地区晚二叠世腕足动物群及其生态意义</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郭  镇</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陈中强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秦皇岛大石河河流阶地序列的成因与年代</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卢  畅</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肖国桥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南京新生代玄武岩中橄榄岩包体环带结构研究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熊志武</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续海金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德胜地区泥盆系热演化和油气冲注史重建</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梁雅琪</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侯宇光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1610491009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柴北缘煤系地层储层成岩作用研究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何  杰</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  华         严德天       刘恩涛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海洋沉积物释光测年结果的影响因素探究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胡亦潘</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姜  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1610491011</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新疆大西沟岩浆型铁磷矿床成矿中T-fO2分析及成矿机制探讨：EMPA及LA-ICP-MS技术的应用</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  龙</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曹晓峰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基于常规测井方法的泥岩盖层脆性指数分析</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龚  银</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  华         严德天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锡石原位U-Pb同位素定年方法探究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许  聪</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赵葵东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泥页岩中有机质富集主控因素</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杨向荣</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严德天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材化学院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烷基咪唑四卤化铁盐磁性离子液体插层高岭石复合物的制备与表征 </w:t>
            </w:r>
          </w:p>
        </w:tc>
        <w:tc>
          <w:tcPr>
            <w:tcW w:w="1294" w:type="dxa"/>
            <w:shd w:val="clear" w:color="auto" w:fill="auto"/>
            <w:vAlign w:val="center"/>
          </w:tcPr>
          <w:p>
            <w:pPr>
              <w:widowControl/>
              <w:jc w:val="center"/>
              <w:rPr>
                <w:rFonts w:ascii="宋体" w:hAnsi="宋体"/>
                <w:color w:val="000000"/>
                <w:kern w:val="0"/>
                <w:sz w:val="22"/>
              </w:rPr>
            </w:pPr>
            <w:r>
              <w:rPr>
                <w:rFonts w:hint="eastAsia" w:ascii="宋体" w:hAnsi="宋体"/>
                <w:color w:val="000000"/>
                <w:kern w:val="0"/>
                <w:sz w:val="22"/>
              </w:rPr>
              <w:t>杨朋朋</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吴秀玲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材化学院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多元复合地质聚合物路面修补材料的制备技术研究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严忠昀</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段  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1610491020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材化学院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vAlign w:val="center"/>
          </w:tcPr>
          <w:p>
            <w:pPr>
              <w:widowControl/>
              <w:jc w:val="center"/>
              <w:rPr>
                <w:sz w:val="24"/>
                <w:szCs w:val="24"/>
              </w:rPr>
            </w:pPr>
            <w:r>
              <w:rPr>
                <w:rFonts w:hint="eastAsia"/>
                <w:sz w:val="24"/>
                <w:szCs w:val="24"/>
              </w:rPr>
              <w:t>稻壳吸附剂纸杯机器吸附性能研究</w:t>
            </w:r>
          </w:p>
        </w:tc>
        <w:tc>
          <w:tcPr>
            <w:tcW w:w="1294" w:type="dxa"/>
            <w:vAlign w:val="center"/>
          </w:tcPr>
          <w:p>
            <w:pPr>
              <w:jc w:val="center"/>
              <w:rPr>
                <w:sz w:val="24"/>
                <w:szCs w:val="24"/>
              </w:rPr>
            </w:pPr>
            <w:r>
              <w:rPr>
                <w:rFonts w:hint="eastAsia"/>
                <w:sz w:val="24"/>
                <w:szCs w:val="24"/>
              </w:rPr>
              <w:t>林超</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罗文君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1610491022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材化学院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天然矿物高岭土催化制备聚己内酯及其药物缓释性能的研究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陶珅名</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  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1610491023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环境学院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教二楼前荷花池水质评价与水质改善研究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汪  恒</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童  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1610491025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环境学院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水葫芦、蔗渣和玉米芯生物质炭的制备及对金霉素吸收性能的研究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  林</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童  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1610491030</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阜阳膨胀土强度影响因素研究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芮圣洁</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吴  立         吴雪婷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1610491034</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钻进液电性增强煤岩井壁稳定性的实验研究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陈书雅</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蔡记华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1610491035</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海洋水合物开采防砂设计及其实验研究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刘东方</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宁伏龙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适用于磨铣球墨铸铁的磨鞋水力结构与耐磨层参数优化</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郭  超</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段隆臣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1610491037</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新型标贯试验贯入器切割片及密封装置</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李昆鹏</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吴文兵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1610491038</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高速远程滑坡铲刮效应影响因素物理模型试验</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李信杰</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葛云峰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1610491039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驻波法测管道系统固有频率</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陆威帆</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景锐平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1610491042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 自然科学类 </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基于GIS的2013-2015年武汉市空气质量（AQI）时空分布特征分析</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吴中方   </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武雪玲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1610491043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 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三峡坝区植被覆盖率变化研究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程  前    </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牛瑞卿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1610491044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其它类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基于GIS的滑坡灾害风险评价——以五峰县渔阳关为例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黎丰收    </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陈丽霞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1610491048</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基于单片机的血压测量计</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柯  俊</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陈分雄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1610491050</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红外测温器与手机</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彭冬梅</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傅华明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1610491055</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函数发生器的搭建与特性研究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徐知博</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郝国成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1610491056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基于信号稀疏表示的重构算法研究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李名刚</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郝国成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1610491057</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基于二次EEMD改进算法的非平稳小信号时频分析研究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喻晓芸</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郝国成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1610491058</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基于地球天然脉冲磁场的非平稳小信号程控放大电路设计</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张恒伟</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郝国成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1610491060</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基于同步压缩小波算法的时频分析研究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姚  娟</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郝国成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nil"/>
              <w:left w:val="single" w:color="auto" w:sz="4" w:space="0"/>
              <w:bottom w:val="single" w:color="auto" w:sz="4" w:space="0"/>
              <w:right w:val="single" w:color="auto" w:sz="4" w:space="0"/>
            </w:tcBorders>
            <w:vAlign w:val="center"/>
          </w:tcPr>
          <w:p>
            <w:pPr>
              <w:widowControl/>
              <w:jc w:val="center"/>
              <w:rPr>
                <w:rFonts w:ascii="宋体" w:hAnsi="宋体"/>
                <w:kern w:val="0"/>
                <w:sz w:val="24"/>
                <w:szCs w:val="24"/>
              </w:rPr>
            </w:pPr>
            <w:r>
              <w:rPr>
                <w:rFonts w:hint="eastAsia" w:ascii="宋体" w:hAnsi="宋体"/>
                <w:kern w:val="0"/>
                <w:sz w:val="24"/>
                <w:szCs w:val="24"/>
              </w:rPr>
              <w:t>1610491071</w:t>
            </w:r>
          </w:p>
        </w:tc>
        <w:tc>
          <w:tcPr>
            <w:tcW w:w="1369" w:type="dxa"/>
            <w:tcBorders>
              <w:top w:val="nil"/>
              <w:left w:val="nil"/>
              <w:bottom w:val="single" w:color="auto" w:sz="4" w:space="0"/>
              <w:right w:val="single" w:color="auto" w:sz="4" w:space="0"/>
            </w:tcBorders>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nil"/>
              <w:left w:val="nil"/>
              <w:bottom w:val="single" w:color="auto" w:sz="4" w:space="0"/>
              <w:right w:val="single" w:color="auto" w:sz="4" w:space="0"/>
            </w:tcBorders>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nil"/>
              <w:left w:val="nil"/>
              <w:bottom w:val="single" w:color="auto" w:sz="4" w:space="0"/>
              <w:right w:val="single" w:color="auto" w:sz="4" w:space="0"/>
            </w:tcBorders>
            <w:vAlign w:val="center"/>
          </w:tcPr>
          <w:p>
            <w:pPr>
              <w:widowControl/>
              <w:jc w:val="center"/>
              <w:rPr>
                <w:rFonts w:ascii="宋体" w:hAnsi="宋体"/>
                <w:kern w:val="0"/>
                <w:sz w:val="24"/>
                <w:szCs w:val="24"/>
              </w:rPr>
            </w:pPr>
            <w:r>
              <w:rPr>
                <w:rFonts w:hint="eastAsia" w:ascii="宋体" w:hAnsi="宋体"/>
                <w:kern w:val="0"/>
                <w:sz w:val="24"/>
                <w:szCs w:val="24"/>
              </w:rPr>
              <w:t xml:space="preserve">雨伞烘干器的设计与制作 </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kern w:val="0"/>
                <w:sz w:val="24"/>
                <w:szCs w:val="24"/>
              </w:rPr>
            </w:pPr>
            <w:r>
              <w:rPr>
                <w:rFonts w:hint="eastAsia" w:ascii="宋体" w:hAnsi="宋体"/>
                <w:kern w:val="0"/>
                <w:sz w:val="24"/>
                <w:szCs w:val="24"/>
              </w:rPr>
              <w:t>李佳仪</w:t>
            </w:r>
          </w:p>
        </w:tc>
        <w:tc>
          <w:tcPr>
            <w:tcW w:w="1291" w:type="dxa"/>
            <w:tcBorders>
              <w:top w:val="nil"/>
              <w:left w:val="nil"/>
              <w:bottom w:val="single" w:color="auto" w:sz="4" w:space="0"/>
              <w:right w:val="single" w:color="auto" w:sz="4" w:space="0"/>
            </w:tcBorders>
            <w:vAlign w:val="center"/>
          </w:tcPr>
          <w:p>
            <w:pPr>
              <w:widowControl/>
              <w:jc w:val="center"/>
              <w:rPr>
                <w:rFonts w:ascii="宋体" w:hAnsi="宋体"/>
                <w:kern w:val="0"/>
                <w:sz w:val="24"/>
                <w:szCs w:val="24"/>
              </w:rPr>
            </w:pPr>
            <w:r>
              <w:rPr>
                <w:rFonts w:hint="eastAsia" w:ascii="宋体" w:hAnsi="宋体"/>
                <w:kern w:val="0"/>
                <w:sz w:val="24"/>
                <w:szCs w:val="24"/>
              </w:rPr>
              <w:t>周  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1610491073</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针对于智能型手机的防摔设计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邱望德</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杨  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1610491074</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智能开源门禁系统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朱高祺</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周  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1610491076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一次性痰液打包收纳盒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王  优</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饶建华       路桂英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1610491077</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大量程数显Z向对刀仪</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曹  荣</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丁腾飞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1610491078</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电动风力雨伞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 xml:space="preserve">胡  涵 </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丁腾飞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1610491086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对放置长柄伞的小型伞架的研究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马梦晨</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曹文熬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1610491087</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机电学院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多功能桌椅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李小鹏</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路桂英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1610491090</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基于阵列超声技术的欠驱动差动式自主跟随小车</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张柯瑞</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赖旭芝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1610491091</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基于SOPC的手势识别电气控制系统</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鲍统元</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赵  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1610491092</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基于stm32控制的电磁悬浮系统设计</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白仕兴</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晋  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1610491093</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基于单片机的多功能视力保护器设计</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丁  波</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谢桂辉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1610491094</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基于脑电波情感识别的灯光控制系统</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丁学文</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刘振焘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1610491095</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基于GPRS的无线水温监控系统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黑振全</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刘  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w:t>
            </w:r>
            <w:r>
              <w:rPr>
                <w:sz w:val="24"/>
                <w:szCs w:val="24"/>
              </w:rPr>
              <w:t>STM32</w:t>
            </w:r>
            <w:r>
              <w:rPr>
                <w:rFonts w:hint="eastAsia"/>
                <w:sz w:val="24"/>
                <w:szCs w:val="24"/>
              </w:rPr>
              <w:t>的非接触式测温系统</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黄上都</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王广君</w:t>
            </w:r>
            <w:r>
              <w:rPr>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1610491097</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基于触觉反应的无声唤醒仪</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简  旭</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曹卫华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1610491098</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基于STM32的程控直流电子负载的设计及制作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李晨涛</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谭智力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1610491099</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基于环境感知信息的智能小车轨道跟踪算法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汪  镇</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陈略峰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1610491100</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基于MMA7361和ENC-03的双轮自平衡小车</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王洪鹏</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王庆义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1610491101</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 xml:space="preserve">基于STM32的航拍微型四轴飞行器 </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程  军</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胡亚斌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1610491102</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自动化学院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nil"/>
              <w:bottom w:val="single" w:color="auto" w:sz="4" w:space="0"/>
              <w:right w:val="nil"/>
            </w:tcBorders>
            <w:shd w:val="clear" w:color="auto" w:fill="auto"/>
            <w:vAlign w:val="center"/>
          </w:tcPr>
          <w:p>
            <w:pPr>
              <w:widowControl/>
              <w:jc w:val="center"/>
              <w:rPr>
                <w:sz w:val="24"/>
                <w:szCs w:val="24"/>
              </w:rPr>
            </w:pPr>
            <w:r>
              <w:rPr>
                <w:rFonts w:hint="eastAsia"/>
                <w:sz w:val="24"/>
                <w:szCs w:val="24"/>
              </w:rPr>
              <w:t>基于地磁传感器的无线车位管理系统</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4"/>
                <w:szCs w:val="24"/>
              </w:rPr>
            </w:pPr>
            <w:r>
              <w:rPr>
                <w:rFonts w:hint="eastAsia"/>
                <w:sz w:val="24"/>
                <w:szCs w:val="24"/>
              </w:rPr>
              <w:t>孙一仆</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宋俊磊       董凯锋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哲学社会科学 </w:t>
            </w:r>
          </w:p>
        </w:tc>
        <w:tc>
          <w:tcPr>
            <w:tcW w:w="6231" w:type="dxa"/>
            <w:tcBorders>
              <w:top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智慧城市建设背景下——探究武汉市智慧停车现状及前景</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张晓微</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王广名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哲学社会科学 </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奢侈品牌社会化媒体营销战略研究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邹新文</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朱  政         江  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1610491106</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哲学社会科学 </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武汉建筑工程中安全措施投资的经济效益研究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郭文会</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王开明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人文社会科学类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关于慕课的现状分析以及前景展望——以华中七校为例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刘胜男</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刘江宜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1610491108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关于我国网络营销平台发展现状的研究——以百度推广为例 </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邱文强</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朱  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基于组织公民行为层面EAP福利机制的作用探析</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苏  彤</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刘家国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1610491111</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对大学生公益项目现状的调查研究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李富成</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王开明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经管学院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地质公园导游解说词的编写实践之探讨——以张家界世界地质公园为例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宁功豪</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鄢志武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珠宝新闻报道中消费观念的批判性话语分析</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秦  潇</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张红燕       孙仲鸣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基于多模态话语理论视域下珠宝广告研究——以卡地亚三则宣传片为例 </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周凤臻</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张红燕       孙仲鸣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基于功能目的论中外珠宝品牌宣传语翻译研究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黄铭祯</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张红燕       孙仲鸣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1610491116</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生态翻译学视阈下《红高粱》葛浩文译本的翻译策略研究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  磊</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江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逃脱类游戏：《求生之路——秘密潜入》</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华  韬</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王国念       高  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英语专业学生人文素质教育中的介质转换——以英美文学课程为例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耿良鑫</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唐晓云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1610491119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基于个性心理学的译者心理特征研究——以《飞鸟集》郑振铎译本和冯唐译本为例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刘涵宇</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唐晓云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新媒体时代碎片化阅读的研究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刘俊雅</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唐晓云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1610491121</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外国语学院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英语专业本科毕业生就业发展趋势及就业困境的研究——以211工程理工类高校为例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  政</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冯  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基于安卓水准网数据处理软件的开发</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邵玉胜</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赖祖龙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GPS掩星电离层数据质量研究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赵  镇</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曾  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基于大数据分析的园林城市遥感监测服务关键技术研究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  闯</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刘福江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唐、五代文学家籍贯空间分布可视化分析</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侯浩川</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杨  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1610491126</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基于空间相似性多尺度下的面实体（居民地）匹配</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张陈毓</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郑贵洲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自适应地形建模及其精度评价研究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温旭宏鹤</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  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边界特征相似度匹配方法在建筑物提取中的应用 </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邓  拓</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田玉刚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1610491129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信工学院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线上CPⅢ点三角高程测量代替精密水准测量的可行性研究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王宇蝶</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明祖涛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1610491130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数理学院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创新人才成长轨迹</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吕彬民</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钟  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1610491131</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数理学院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国家杰出青年科学基金获得者的成长轨迹研究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  勉</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钟  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1610491132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数理学院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基于光钎光栅传感电子秤制作</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雷少虎</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景锐平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1610491133</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纸制品表面复合功能性材料涂层的研究及对纸质文物保护的应用</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姜  炎</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葛  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1610491135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博弈论为基础的企业商业模式分析调查</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黄伟桦</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陈  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1610491137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关于常见贵金属补口的成分含量研究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郑昕雨</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狄敬如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1610491142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其他类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市场中常见的翡翠雕刻题材及历史探源</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王川渝</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任  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1610491146</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中日掐丝珐琅釉料成分及结构对比分析   </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葛  潇</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沈锡田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1610491147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绿松石注蜡，浸蜡优化处理研究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方  威</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杨明星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1610491148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珠宝学院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华北克拉通新太古代变质温压条件解译：赞皇地块石榴石核部矿物组合的证据 </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张  吟  </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Timothy Kusky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1610491149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公管学院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color w:val="000000"/>
                <w:kern w:val="0"/>
                <w:sz w:val="24"/>
                <w:szCs w:val="24"/>
              </w:rPr>
              <w:t>轨道交通对房价格局影响力评估</w:t>
            </w:r>
            <w:r>
              <w:rPr>
                <w:color w:val="000000"/>
                <w:kern w:val="0"/>
                <w:sz w:val="24"/>
                <w:szCs w:val="24"/>
              </w:rPr>
              <w:t>——</w:t>
            </w:r>
            <w:r>
              <w:rPr>
                <w:rFonts w:hint="eastAsia" w:ascii="宋体" w:hAnsi="宋体"/>
                <w:color w:val="000000"/>
                <w:kern w:val="0"/>
                <w:sz w:val="24"/>
                <w:szCs w:val="24"/>
              </w:rPr>
              <w:t>以武汉地铁</w:t>
            </w:r>
            <w:r>
              <w:rPr>
                <w:color w:val="000000"/>
                <w:kern w:val="0"/>
                <w:sz w:val="24"/>
                <w:szCs w:val="24"/>
              </w:rPr>
              <w:t>3</w:t>
            </w:r>
            <w:r>
              <w:rPr>
                <w:rFonts w:hint="eastAsia" w:ascii="宋体" w:hAnsi="宋体"/>
                <w:color w:val="000000"/>
                <w:kern w:val="0"/>
                <w:sz w:val="24"/>
                <w:szCs w:val="24"/>
              </w:rPr>
              <w:t>号线为例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张溢凡</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渠丽萍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公管学院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网约车模式下消费者权益保护的问题研究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顾红松</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廖建求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公管学院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两代农民工融入城镇化影响因素研究及应对措施</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刘雨婷</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黄德林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计算机学院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基于群智感知的城市空气质量检测系统</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姬晨烜</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曾德泽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1610491156</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计算机学院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群体智能游戏开发</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詹才韬</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李长河        曾三友       李欢欢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计算机学院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基于NFC的野外地质调查数据采集技术研究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马超淳</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张志庭       翁正平       孔春芳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计算机学院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基于区域最大相似度分割算法的改进</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刘家正</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童恒建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计算机学院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智能卡安全技术研究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覃  悦</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程  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计算机学院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机会移动传感网络中基于效用策略的路由技术研究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熊世伟</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陈  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1610491162</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艺媒学院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有关《红楼梦》人物身份的传播研究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欧翩翩</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孟  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1610491164</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艺媒学院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地大文化产品及校园纪念品制作</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王品旋</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狄  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艺媒学院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磁悬浮植物盆景设计</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石鸣春涧</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彭  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1610491166</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艺媒学院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科技发明制作类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嵌入式公益循环系统的优化研究之作</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李可楠</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刘  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1610491167</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哲学社科类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心理学视域下中国地质大学本科生恶性占座行为的原因及对策的研究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袁凯鑫</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黄  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1610491168</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哲学社科类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高校校训对大学生育人功能的发挥现状及路径研究——以中国地质大学（武汉）为例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钱晨晨</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张存军       侯志军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1610491169</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哲学社科类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高校中华优秀传统文化教育现状的调查分析——基于中国地质大学（武汉）实证研究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赵岩</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侯志军       张存军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1610491170</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哲学社科类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红色文化的“继”与“承”的践行路径研究——以红安精神为例</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李锦曼</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何  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1610491171</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从近5年来看国产热播剧文艺作品的价值取向</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闫铭瑜</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李敏伦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1610491172</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高校</w:t>
            </w:r>
            <w:r>
              <w:rPr>
                <w:rFonts w:ascii="Times New Roman" w:hAnsi="Times New Roman" w:cs="Times New Roman"/>
                <w:kern w:val="0"/>
                <w:sz w:val="24"/>
                <w:szCs w:val="24"/>
              </w:rPr>
              <w:t>ofo</w:t>
            </w:r>
            <w:r>
              <w:rPr>
                <w:rFonts w:hint="eastAsia" w:ascii="宋体" w:hAnsi="宋体"/>
                <w:kern w:val="0"/>
                <w:sz w:val="24"/>
                <w:szCs w:val="24"/>
              </w:rPr>
              <w:t>共享单车对绿色发展的影响</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田丛敏</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黄  娟         文  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1610491174</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李四光学院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讨论碳酸盐岩风化产物对重金属元素镉的次生富集作用及环境意义</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潘  飞</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李方林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1610491175</w:t>
            </w:r>
          </w:p>
        </w:tc>
        <w:tc>
          <w:tcPr>
            <w:tcW w:w="1369"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李四光学院</w:t>
            </w:r>
          </w:p>
        </w:tc>
        <w:tc>
          <w:tcPr>
            <w:tcW w:w="2073"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柴达木盆地内类火星雅丹地貌特征及成因机制</w:t>
            </w:r>
          </w:p>
        </w:tc>
        <w:tc>
          <w:tcPr>
            <w:tcW w:w="1294"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韩紫嫣</w:t>
            </w:r>
          </w:p>
        </w:tc>
        <w:tc>
          <w:tcPr>
            <w:tcW w:w="129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肖  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1510491XL015</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材化学院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稻壳吸附剂制备及其吸附性能研究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林超</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罗文君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1510491XL020</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环境学院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探究Fe、Cu不同比例混合对微囊藻（束丝藻）的抑制作用</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胡志超</w:t>
            </w:r>
          </w:p>
          <w:p>
            <w:pPr>
              <w:widowControl/>
              <w:jc w:val="center"/>
              <w:rPr>
                <w:rFonts w:ascii="宋体" w:hAnsi="宋体"/>
                <w:kern w:val="0"/>
                <w:sz w:val="24"/>
                <w:szCs w:val="24"/>
              </w:rPr>
            </w:pPr>
            <w:r>
              <w:rPr>
                <w:rFonts w:hint="eastAsia" w:ascii="宋体" w:hAnsi="宋体"/>
                <w:kern w:val="0"/>
                <w:sz w:val="24"/>
                <w:szCs w:val="24"/>
              </w:rPr>
              <w:t>胡江霖</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谢作明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1510491XL022</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环境学院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新疆天然胡杨林生长状况与土壤微生物关系研究——主要以塔里木河为例</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支永威</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王红梅</w:t>
            </w:r>
          </w:p>
          <w:p>
            <w:pPr>
              <w:widowControl/>
              <w:jc w:val="center"/>
              <w:rPr>
                <w:rFonts w:ascii="宋体" w:hAnsi="宋体"/>
                <w:kern w:val="0"/>
                <w:sz w:val="24"/>
                <w:szCs w:val="24"/>
              </w:rPr>
            </w:pPr>
            <w:r>
              <w:rPr>
                <w:rFonts w:hint="eastAsia" w:ascii="宋体" w:hAnsi="宋体"/>
                <w:kern w:val="0"/>
                <w:sz w:val="24"/>
                <w:szCs w:val="24"/>
              </w:rPr>
              <w:t>顾延生</w:t>
            </w:r>
          </w:p>
          <w:p>
            <w:pPr>
              <w:widowControl/>
              <w:jc w:val="center"/>
              <w:rPr>
                <w:rFonts w:ascii="宋体" w:hAnsi="宋体"/>
                <w:kern w:val="0"/>
                <w:sz w:val="24"/>
                <w:szCs w:val="24"/>
              </w:rPr>
            </w:pPr>
            <w:r>
              <w:rPr>
                <w:rFonts w:hint="eastAsia" w:ascii="宋体" w:hAnsi="宋体"/>
                <w:kern w:val="0"/>
                <w:sz w:val="24"/>
                <w:szCs w:val="24"/>
              </w:rPr>
              <w:t>彭兆丰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1510491XL028</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工程学院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武汉软黏土加速蠕变特性试验研究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胡毓浩</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任兴伟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1510491XL159</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李四光学院</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秋季银杏叶色差异的分子机理探究</w:t>
            </w:r>
          </w:p>
        </w:tc>
        <w:tc>
          <w:tcPr>
            <w:tcW w:w="12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孙吉嘉</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盛桂莲</w:t>
            </w:r>
          </w:p>
        </w:tc>
      </w:tr>
    </w:tbl>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r>
        <w:rPr>
          <w:rFonts w:hint="eastAsia"/>
          <w:b/>
          <w:sz w:val="28"/>
          <w:szCs w:val="24"/>
        </w:rPr>
        <w:t>附件二：</w:t>
      </w:r>
    </w:p>
    <w:p>
      <w:pPr>
        <w:widowControl/>
        <w:jc w:val="center"/>
        <w:rPr>
          <w:rFonts w:hint="eastAsia"/>
          <w:b/>
          <w:sz w:val="28"/>
          <w:szCs w:val="24"/>
        </w:rPr>
      </w:pPr>
      <w:r>
        <w:rPr>
          <w:rFonts w:hint="eastAsia"/>
          <w:b/>
          <w:sz w:val="28"/>
          <w:szCs w:val="24"/>
        </w:rPr>
        <w:t>中国地质大学</w:t>
      </w:r>
      <w:r>
        <w:rPr>
          <w:rFonts w:hint="eastAsia" w:ascii="宋体" w:hAnsi="宋体" w:eastAsia="宋体" w:cs="宋体"/>
          <w:b/>
          <w:sz w:val="28"/>
          <w:szCs w:val="24"/>
        </w:rPr>
        <w:t>2016</w:t>
      </w:r>
      <w:r>
        <w:rPr>
          <w:rFonts w:hint="eastAsia"/>
          <w:b/>
          <w:sz w:val="28"/>
          <w:szCs w:val="24"/>
        </w:rPr>
        <w:t>年大学生基础科研训练计划不予结题项目不予结题项目</w:t>
      </w:r>
    </w:p>
    <w:tbl>
      <w:tblPr>
        <w:tblStyle w:val="6"/>
        <w:tblW w:w="139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9"/>
        <w:gridCol w:w="1934"/>
        <w:gridCol w:w="6470"/>
        <w:gridCol w:w="1341"/>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shd w:val="clear" w:color="000000" w:fill="FFFF99"/>
            <w:vAlign w:val="center"/>
          </w:tcPr>
          <w:p>
            <w:pPr>
              <w:widowControl/>
              <w:jc w:val="center"/>
              <w:rPr>
                <w:rFonts w:ascii="宋体" w:hAnsi="宋体"/>
                <w:b/>
                <w:bCs/>
                <w:kern w:val="0"/>
                <w:sz w:val="24"/>
                <w:szCs w:val="24"/>
              </w:rPr>
            </w:pPr>
            <w:bookmarkStart w:id="1" w:name="_Hlk485252348"/>
            <w:r>
              <w:rPr>
                <w:rFonts w:hint="eastAsia" w:ascii="宋体" w:hAnsi="宋体"/>
                <w:b/>
                <w:bCs/>
                <w:kern w:val="0"/>
                <w:sz w:val="24"/>
                <w:szCs w:val="24"/>
              </w:rPr>
              <w:t>项目编号</w:t>
            </w:r>
          </w:p>
        </w:tc>
        <w:tc>
          <w:tcPr>
            <w:tcW w:w="1419"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学院</w:t>
            </w:r>
          </w:p>
        </w:tc>
        <w:tc>
          <w:tcPr>
            <w:tcW w:w="1934"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申报类别</w:t>
            </w:r>
          </w:p>
        </w:tc>
        <w:tc>
          <w:tcPr>
            <w:tcW w:w="6470"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项目名称</w:t>
            </w:r>
          </w:p>
        </w:tc>
        <w:tc>
          <w:tcPr>
            <w:tcW w:w="1341"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负责人</w:t>
            </w:r>
          </w:p>
        </w:tc>
        <w:tc>
          <w:tcPr>
            <w:tcW w:w="1333"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指导老师</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1610491004</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地学院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空间风化对矿物中红外光谱的影响</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者明健雄</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  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1610491007</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资源学院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台湾以东流域表层沉积物中四醚膜脂的组成和分布及其对黑潮的响应</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郑  好</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吕晓霞       吕万军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1610491015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资源学院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陕西省主要含煤区煤中有益有害元素地球化学特征对比研究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上官云飞</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  晶         庄新国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1610491021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材化学院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水凝胶包埋酶去除水体酚类污染物</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洪银慧</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夏  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1610491026</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环境学院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基于氧化吸附法的高砷高铁地下水机理研究及装置设计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冯琛雅</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苏春利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1610491027</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环境学院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强化生物颗粒活性炭处理焦化废水的探讨</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庞宇</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潘欢迎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1610491028</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工程学院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基于EDEM的水合物开采出砂数值模拟研究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余  梦</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宁伏龙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1610491029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工程学院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论EPS材料在循环冻融条件下的工程力学性质</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刘  潜</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杨世浩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1610491031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工程学院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关于岩土导热性能野外测量方法的研究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  飞</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骆  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1610491032</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工程学院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VR在动火作业安全培训中的应用研究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赵玥浦</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倪晓阳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1610491040</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地空学院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自然科学类   </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基于稀疏表示的遥感影像时空融合方法研究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赵之若</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喻  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1610491045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地空学院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 xml:space="preserve">曹雪芹与《红楼梦》的故事对当代青年的启示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周万里</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何  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1610491046</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基于GSM短信模块的家庭防盗报警系统</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杨君英</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舒邦久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1610491047</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基于安卓手机蓝牙控制的智能小车设计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赵天明</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陈分雄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1610491049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基于单片机的家用防盗自拨号系统设计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谢  苑</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舒邦久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1610491051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爱心伞自动借还系统</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王宝业</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叶敦范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1610491052</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基于电子标签的仓库扫描系统的应用拓展和发展趋势研究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王天雄</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陈振兴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1610491053</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红外线感应多功能台灯</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  讯</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曹文熬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1610491054</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基于51单片机的车载温控水杯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黄鸿建</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  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1610491059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基于广义s变换的非平稳信号时频分析研究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刘  童</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郝国成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滑坡的3D动画演示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陈何玲</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刘  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1610491062</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手机散热支架及风扇</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陈佳萌</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1610491063</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多用途无线充电装置及其拓展装置</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曾一帆</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1610491064</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数据线电子手表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肖  毅</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USB热风扇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赵玮豪</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1610491066</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LED智能可充式自制小台灯</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  涵</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周群群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1610491067</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其他类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工业产品动画模拟的二次设计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杨浩景</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周  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1610491068</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关于单手残疾人生活用品的设计与研究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王紫媛</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肖  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1610491069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多轴旋翼无人航拍机结构改良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吴  迪</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张彬彬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1610491070</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折叠式桌椅组合创意设计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王有康</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童志伟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1610491072</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校园场地租借的APP设计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邓  胜</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张彬彬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1610491075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海底沉积物柱形取样特性研究实验装置设计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刘  磊</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  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1610491079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 发热键盘、鼠标</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吴烜勋</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 陶安东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1610491080</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智能避障小车</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段修栋</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 陶安东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爬梯感应灯</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蔡云芹</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丁腾飞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1610491082</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智能四轴飞行器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王昱鑫</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陶安东       莫斌煜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1610491083</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抗震救生床</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王晓刚</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  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1610491084</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基于ANSYS Workbench的非开挖铺线机动力头轻量化设计</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高茂森</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  波         丁腾飞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鞋底能量转换装置</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屈舒瑞</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张文颖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1610491088</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新型活动式清洁扫把</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胡旭东</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张伟民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1610491089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机电学院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智能台灯</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李文灏</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曹文熬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1610491105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经管学院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哲学社会科学 </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大学生对MOOC的需求及接受现状研究——以华中七校大学生为例</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唐  颖</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熊  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1610491109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经管学院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科技发明制作类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 学生综测评定及分析系统设计与开发</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郑  健</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薛武强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1610491134</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碧玺的销售方式及首饰样式对市场喜爱度的影响</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张雪彗</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裴景成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1610491136</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从传家宝文化来看珠宝行业发展</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王广玲</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李举子       卢文忠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1610491138</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  关于玛瑙纹带的探讨及玛瑙纹带工艺美学浅谈</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郭冰灿</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葛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1610491139</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琥珀内昆虫的种类特征及其鉴定意义</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马小敏</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王雅玫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1610491140</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马鸡血石中7Å矿物过渡相矿物特征及其成因指示</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周  阳</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王朝文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1610491141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奢侈品的营销策略---以梵克雅宝和卡地亚为例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董天舒</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周琪深       包德清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1610491143</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坦桑尼亚粉色尖晶石包裹体研究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陈梦瑶</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裴景成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1610491144</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 xml:space="preserve">纤磷钙铝矾石的特征分析及价值研究科研立项申请表 </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陈怡霖</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陈全莉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1610491145</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珠宝学院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研究珠宝产业中心理学相关原理及应用</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梅远纯</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蔡智全        李  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1610491151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公管学院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滨海城市再生水利用法律研究——以青岛市为例</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葛健豪</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才惠莲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1610491153</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公管学院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团体理论视角下怒江水电站开发公共政策分析</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  阳</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李世祥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1610491161</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艺媒学院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高校新媒体发展与校园形象推广——以武汉市为例</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黄志炜</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熊  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1610491163</w:t>
            </w:r>
          </w:p>
        </w:tc>
        <w:tc>
          <w:tcPr>
            <w:tcW w:w="14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艺媒学院</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哲学社会科学类</w:t>
            </w:r>
          </w:p>
        </w:tc>
        <w:tc>
          <w:tcPr>
            <w:tcW w:w="64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视屏短片叙事方式与画面艺术的受众影响力研究</w:t>
            </w:r>
          </w:p>
        </w:tc>
        <w:tc>
          <w:tcPr>
            <w:tcW w:w="13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周致远</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万大员</w:t>
            </w:r>
          </w:p>
        </w:tc>
      </w:tr>
    </w:tbl>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p>
    <w:p>
      <w:pPr>
        <w:widowControl/>
        <w:jc w:val="left"/>
        <w:rPr>
          <w:rFonts w:hint="eastAsia"/>
          <w:b/>
          <w:sz w:val="28"/>
          <w:szCs w:val="24"/>
        </w:rPr>
      </w:pPr>
      <w:r>
        <w:rPr>
          <w:rFonts w:hint="eastAsia"/>
          <w:b/>
          <w:sz w:val="28"/>
          <w:szCs w:val="24"/>
        </w:rPr>
        <w:t>附件三：</w:t>
      </w:r>
    </w:p>
    <w:p>
      <w:pPr>
        <w:widowControl/>
        <w:jc w:val="center"/>
        <w:rPr>
          <w:rFonts w:hint="eastAsia"/>
          <w:b/>
          <w:sz w:val="28"/>
          <w:szCs w:val="24"/>
        </w:rPr>
      </w:pPr>
      <w:r>
        <w:rPr>
          <w:rFonts w:hint="eastAsia"/>
          <w:b/>
          <w:sz w:val="28"/>
          <w:szCs w:val="24"/>
        </w:rPr>
        <w:t>中国地质大学</w:t>
      </w:r>
      <w:r>
        <w:rPr>
          <w:rFonts w:hint="eastAsia" w:ascii="宋体" w:hAnsi="宋体" w:eastAsia="宋体" w:cs="宋体"/>
          <w:b/>
          <w:sz w:val="28"/>
          <w:szCs w:val="24"/>
        </w:rPr>
        <w:t>2016</w:t>
      </w:r>
      <w:r>
        <w:rPr>
          <w:rFonts w:hint="eastAsia"/>
          <w:b/>
          <w:sz w:val="28"/>
          <w:szCs w:val="24"/>
        </w:rPr>
        <w:t>年大学生基础科研训练计划延期结题项目</w:t>
      </w:r>
    </w:p>
    <w:tbl>
      <w:tblPr>
        <w:tblStyle w:val="6"/>
        <w:tblW w:w="138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358"/>
        <w:gridCol w:w="1897"/>
        <w:gridCol w:w="6662"/>
        <w:gridCol w:w="1281"/>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6"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项目编号</w:t>
            </w:r>
          </w:p>
        </w:tc>
        <w:tc>
          <w:tcPr>
            <w:tcW w:w="1358"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学院</w:t>
            </w:r>
          </w:p>
        </w:tc>
        <w:tc>
          <w:tcPr>
            <w:tcW w:w="1897"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申报类别</w:t>
            </w:r>
          </w:p>
        </w:tc>
        <w:tc>
          <w:tcPr>
            <w:tcW w:w="6662"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项目名称</w:t>
            </w:r>
          </w:p>
        </w:tc>
        <w:tc>
          <w:tcPr>
            <w:tcW w:w="1281"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负责人</w:t>
            </w:r>
          </w:p>
        </w:tc>
        <w:tc>
          <w:tcPr>
            <w:tcW w:w="1278" w:type="dxa"/>
            <w:shd w:val="clear" w:color="000000" w:fill="FFFF99"/>
            <w:vAlign w:val="center"/>
          </w:tcPr>
          <w:p>
            <w:pPr>
              <w:widowControl/>
              <w:jc w:val="center"/>
              <w:rPr>
                <w:rFonts w:ascii="宋体" w:hAnsi="宋体"/>
                <w:b/>
                <w:bCs/>
                <w:kern w:val="0"/>
                <w:sz w:val="24"/>
                <w:szCs w:val="24"/>
              </w:rPr>
            </w:pPr>
            <w:r>
              <w:rPr>
                <w:rFonts w:hint="eastAsia" w:ascii="宋体" w:hAnsi="宋体"/>
                <w:b/>
                <w:bCs/>
                <w:kern w:val="0"/>
                <w:sz w:val="24"/>
                <w:szCs w:val="24"/>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1610491016</w:t>
            </w:r>
          </w:p>
        </w:tc>
        <w:tc>
          <w:tcPr>
            <w:tcW w:w="1358"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1897"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662"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熊耳山地区金成矿与基性岩脉的关系</w:t>
            </w:r>
          </w:p>
        </w:tc>
        <w:tc>
          <w:tcPr>
            <w:tcW w:w="128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林海涛</w:t>
            </w:r>
          </w:p>
        </w:tc>
        <w:tc>
          <w:tcPr>
            <w:tcW w:w="1278"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赵新福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6"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1610491017</w:t>
            </w:r>
          </w:p>
        </w:tc>
        <w:tc>
          <w:tcPr>
            <w:tcW w:w="1358"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资源学院</w:t>
            </w:r>
          </w:p>
        </w:tc>
        <w:tc>
          <w:tcPr>
            <w:tcW w:w="1897"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662"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大冶金山店矿区矿物包裹体中微晶玻璃的发现及成矿意义</w:t>
            </w:r>
          </w:p>
        </w:tc>
        <w:tc>
          <w:tcPr>
            <w:tcW w:w="1281"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代  帅</w:t>
            </w:r>
          </w:p>
        </w:tc>
        <w:tc>
          <w:tcPr>
            <w:tcW w:w="1278" w:type="dxa"/>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何谋惷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1610491024</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环境学院</w:t>
            </w:r>
          </w:p>
        </w:tc>
        <w:tc>
          <w:tcPr>
            <w:tcW w:w="1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6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关于东湖典型水生植物与水质关系的调查及其沉积物中微生物的多样性研究</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  颖</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顾延生       王红梅       葛继稳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blHeader/>
          <w:jc w:val="center"/>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1610491033</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工程学院</w:t>
            </w:r>
          </w:p>
        </w:tc>
        <w:tc>
          <w:tcPr>
            <w:tcW w:w="1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自然科学类</w:t>
            </w:r>
          </w:p>
        </w:tc>
        <w:tc>
          <w:tcPr>
            <w:tcW w:w="66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城市地铁建设爆破作业对临近输水管道的影响机制研究</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刘子寒</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bCs/>
                <w:kern w:val="0"/>
                <w:sz w:val="24"/>
                <w:szCs w:val="24"/>
              </w:rPr>
            </w:pPr>
            <w:r>
              <w:rPr>
                <w:rFonts w:hint="eastAsia" w:ascii="宋体" w:hAnsi="宋体"/>
                <w:bCs/>
                <w:kern w:val="0"/>
                <w:sz w:val="24"/>
                <w:szCs w:val="24"/>
              </w:rPr>
              <w:t>蒋  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jc w:val="center"/>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1610491041</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地空学院</w:t>
            </w:r>
          </w:p>
        </w:tc>
        <w:tc>
          <w:tcPr>
            <w:tcW w:w="1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工学类</w:t>
            </w:r>
          </w:p>
        </w:tc>
        <w:tc>
          <w:tcPr>
            <w:tcW w:w="66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基于湿地检测研究建模——以洞庭湖为例</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邓举朝</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陈  涛         胡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1610491150</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公管学院</w:t>
            </w:r>
          </w:p>
        </w:tc>
        <w:tc>
          <w:tcPr>
            <w:tcW w:w="1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6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基于空间句法的老城区空间形态演变分析--以武汉江汉路为例</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张祖禹</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曾  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1610491173</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马克思主义学院</w:t>
            </w:r>
          </w:p>
        </w:tc>
        <w:tc>
          <w:tcPr>
            <w:tcW w:w="1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哲学社会科学类</w:t>
            </w:r>
          </w:p>
        </w:tc>
        <w:tc>
          <w:tcPr>
            <w:tcW w:w="66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社会主义核心价值观教育融入我校班级学风建设的现状及路径研究——以中国地质大学（武汉）为例</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项元顺</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高翔莲       张存国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1610491176</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李四光学院</w:t>
            </w:r>
          </w:p>
        </w:tc>
        <w:tc>
          <w:tcPr>
            <w:tcW w:w="18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自然科学类</w:t>
            </w:r>
          </w:p>
        </w:tc>
        <w:tc>
          <w:tcPr>
            <w:tcW w:w="66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不同地区玄武岩风化对比及其对于火星玄武岩风化环境的启示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周柯亮</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24"/>
                <w:szCs w:val="24"/>
              </w:rPr>
            </w:pPr>
            <w:r>
              <w:rPr>
                <w:rFonts w:hint="eastAsia" w:ascii="宋体" w:hAnsi="宋体"/>
                <w:kern w:val="0"/>
                <w:sz w:val="24"/>
                <w:szCs w:val="24"/>
              </w:rPr>
              <w:t>肖龙</w:t>
            </w:r>
          </w:p>
        </w:tc>
      </w:tr>
    </w:tbl>
    <w:p>
      <w:pPr>
        <w:widowControl/>
        <w:jc w:val="left"/>
        <w:rPr>
          <w:sz w:val="24"/>
          <w:szCs w:val="24"/>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0" distR="0" simplePos="0" relativeHeight="251657216" behindDoc="0" locked="0" layoutInCell="1" allowOverlap="1">
              <wp:simplePos x="0" y="0"/>
              <wp:positionH relativeFrom="margin">
                <wp:align>center</wp:align>
              </wp:positionH>
              <wp:positionV relativeFrom="paragraph">
                <wp:posOffset>0</wp:posOffset>
              </wp:positionV>
              <wp:extent cx="67945" cy="162560"/>
              <wp:effectExtent l="0" t="0" r="0" b="0"/>
              <wp:wrapNone/>
              <wp:docPr id="13" name="4097"/>
              <wp:cNvGraphicFramePr/>
              <a:graphic xmlns:a="http://schemas.openxmlformats.org/drawingml/2006/main">
                <a:graphicData uri="http://schemas.microsoft.com/office/word/2010/wordprocessingShape">
                  <wps:wsp>
                    <wps:cNvSpPr>
                      <a:spLocks noChangeArrowheads="1"/>
                    </wps:cNvSpPr>
                    <wps:spPr bwMode="auto">
                      <a:xfrm>
                        <a:off x="0" y="0"/>
                        <a:ext cx="67945" cy="16256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rect id="4097" o:spid="_x0000_s1026" o:spt="1" style="position:absolute;left:0pt;margin-top:0pt;height:12.8pt;width:5.35pt;mso-position-horizontal:center;mso-position-horizontal-relative:margin;mso-wrap-style:none;z-index:251657216;mso-width-relative:page;mso-height-relative:page;" filled="f" stroked="f" coordsize="21600,21600" o:gfxdata="UEsDBAoAAAAAAIdO4kAAAAAAAAAAAAAAAAAEAAAAZHJzL1BLAwQUAAAACACHTuJAXFpMj9EAAAAD&#10;AQAADwAAAGRycy9kb3ducmV2LnhtbE2PzWrDMBCE74W+g9hCb40UQ9Pgep1DINCWXuL0ARRr/UOk&#10;lZGUOH37Kr20l4Vhhplvq83VWXGhEEfPCMuFAkHcejNyj/B12D2tQcSk2WjrmRC+KcKmvr+rdGn8&#10;zHu6NKkXuYRjqRGGlKZSytgO5HRc+Ik4e50PTqcsQy9N0HMud1YWSq2k0yPnhUFPtB2oPTVnhyAP&#10;zW5eNzYo/1F0n/b9bd+RR3x8WKpXEImu6S8MN/yMDnVmOvozmygsQn4k/d6bp15AHBGK5xXIupL/&#10;2esfUEsDBBQAAAAIAIdO4kA+Heys2QEAAKMDAAAOAAAAZHJzL2Uyb0RvYy54bWytU8Fu2zAMvQ/Y&#10;Pwi6L46zNl2NOEXRIsOAbi3Q9QNkWbaFWaJAKbGzrx8lx9m63oZdBIoUn98jnzc3o+nZQaHXYEue&#10;L5acKSuh1rYt+cv33YdPnPkgbC16sKrkR+X5zfb9u83gCrWCDvpaISMQ64vBlbwLwRVZ5mWnjPAL&#10;cMpSsQE0ItAV26xGMRC66bPVcrnOBsDaIUjlPWXvpyLfJvymUTI8No1XgfUlJ24hnZjOKp7ZdiOK&#10;FoXrtDzREP/Awght6aNnqHsRBNujfgNltETw0ISFBJNB02ipkgZSky//UvPcCaeSFhqOd+cx+f8H&#10;K78dnpDpmnb3kTMrDO3oYnl9FQczOF9Q/dk9YZTm3QPIH55ZuOuEbdUtIgydEjXRyeP77FVDvHhq&#10;ZdXwFWqCFfsAaUZjgyYCkno2plUcz6tQY2CSkuur64tLziRV8vXqcp02lYli7nXow2cFhsWg5EiL&#10;Ttji8OBD5CKK+Un8lIWd7vu07N6+StDDmEncI91Jdhir8TSBCuojqUCYvENep6AD/MnZQL4puSVj&#10;c9Z/sTSHaLE5wDmo5kBYSY0lD5xN4V2YrLh3qNuOcPMkwrtbmtVOJyFxjhOHE0tyQtJ3cm202p/3&#10;9Or3v7X9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xaTI/RAAAAAwEAAA8AAAAAAAAAAQAgAAAA&#10;IgAAAGRycy9kb3ducmV2LnhtbFBLAQIUABQAAAAIAIdO4kA+Heys2QEAAKMDAAAOAAAAAAAAAAEA&#10;IAAAACABAABkcnMvZTJvRG9jLnhtbFBLBQYAAAAABgAGAFkBAABr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0</wp:posOffset>
              </wp:positionV>
              <wp:extent cx="103505" cy="139700"/>
              <wp:effectExtent l="0" t="0" r="0" b="0"/>
              <wp:wrapNone/>
              <wp:docPr id="12" name="4098"/>
              <wp:cNvGraphicFramePr/>
              <a:graphic xmlns:a="http://schemas.openxmlformats.org/drawingml/2006/main">
                <a:graphicData uri="http://schemas.microsoft.com/office/word/2010/wordprocessingShape">
                  <wps:wsp>
                    <wps:cNvSpPr>
                      <a:spLocks noChangeArrowheads="1"/>
                    </wps:cNvSpPr>
                    <wps:spPr bwMode="auto">
                      <a:xfrm>
                        <a:off x="0" y="0"/>
                        <a:ext cx="103505" cy="139700"/>
                      </a:xfrm>
                      <a:prstGeom prst="rect">
                        <a:avLst/>
                      </a:prstGeom>
                      <a:noFill/>
                      <a:ln>
                        <a:noFill/>
                      </a:ln>
                    </wps:spPr>
                    <wps:txbx>
                      <w:txbxContent>
                        <w:p>
                          <w:pPr>
                            <w:snapToGrid w:val="0"/>
                            <w:rPr>
                              <w:sz w:val="18"/>
                            </w:rPr>
                          </w:pPr>
                        </w:p>
                      </w:txbxContent>
                    </wps:txbx>
                    <wps:bodyPr rot="0" vert="horz" wrap="none" lIns="0" tIns="0" rIns="0" bIns="0" anchor="t" anchorCtr="0" upright="1">
                      <a:spAutoFit/>
                    </wps:bodyPr>
                  </wps:wsp>
                </a:graphicData>
              </a:graphic>
            </wp:anchor>
          </w:drawing>
        </mc:Choice>
        <mc:Fallback>
          <w:pict>
            <v:rect id="4098" o:spid="_x0000_s1026" o:spt="1" style="position:absolute;left:0pt;margin-top:0pt;height:11pt;width:8.15pt;mso-position-horizontal:center;mso-position-horizontal-relative:margin;mso-wrap-style:none;z-index:251658240;mso-width-relative:page;mso-height-relative:page;" filled="f" stroked="f" coordsize="21600,21600" o:gfxdata="UEsDBAoAAAAAAIdO4kAAAAAAAAAAAAAAAAAEAAAAZHJzL1BLAwQUAAAACACHTuJA15Ipl9EAAAAD&#10;AQAADwAAAGRycy9kb3ducmV2LnhtbE2PzWrDMBCE74W+g9hCbo0UB0JwLOdQCLSllzh9gI21/qHS&#10;ykhKnL59lV7ay8Iww8y31f7mrLhSiKNnDaulAkHcejNyr+HzdHjegogJ2aD1TBq+KcK+fnyosDR+&#10;5iNdm9SLXMKxRA1DSlMpZWwHchiXfiLOXueDw5Rl6KUJOOdyZ2Wh1EY6HDkvDDjRy0DtV3NxGuSp&#10;Oczbxgbl34vuw769HjvyWi+eVmoHItEt/YXhjp/Roc5MZ39hE4XVkB9Jv/fubdYgzhqKQoGsK/mf&#10;vf4BUEsDBBQAAAAIAIdO4kCdrX+a2QEAAKQDAAAOAAAAZHJzL2Uyb0RvYy54bWytU8Fu1DAQvSPx&#10;D5bvbJIthTbabFW1WoRUoFLpBziOk1jEHmvs3WT5esbOZqH0hrhY4xnPy3szL5ubyQzsoNBrsBUv&#10;VjlnykpotO0q/vx99+6KMx+EbcQAVlX8qDy/2b59sxldqdbQw9AoZARifTm6ivchuDLLvOyVEX4F&#10;TlkqtoBGBLpilzUoRkI3Q7bO8w/ZCNg4BKm8p+z9XOTbhN+2SoZvbetVYEPFiVtIJ6azjme23Yiy&#10;Q+F6LU80xD+wMEJb+ugZ6l4EwfaoX0EZLRE8tGElwWTQtlqqpIHUFPlfap564VTSQsPx7jwm//9g&#10;5dfDIzLd0O7WnFlhaEfv8+urOJjR+ZLqT+4RozTvHkD+8MzCXS9sp24RYeyVaIhOEd9nLxrixVMr&#10;q8cv0BCs2AdIM5paNBGQ1LMpreJ4XoWaApOULPKLy/ySM0ml4uL6Y55WlYlyaXbowycFhsWg4kib&#10;TuDi8OBDJCPK5Un8loWdHoa07cG+SNDDmEnkI99Zd5jq6TSCGpojyUCYzUNmp6AH/MnZSMapuCVn&#10;czZ8tjSI6LElwCWol0BYSY0VD5zN4V2Yvbh3qLuecIskwrtbGtZOJyFxkDOHE0uyQtJ3sm302p/3&#10;9Or3z7X9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eSKZfRAAAAAwEAAA8AAAAAAAAAAQAgAAAA&#10;IgAAAGRycy9kb3ducmV2LnhtbFBLAQIUABQAAAAIAIdO4kCdrX+a2QEAAKQDAAAOAAAAAAAAAAEA&#10;IAAAACABAABkcnMvZTJvRG9jLnhtbFBLBQYAAAAABgAGAFkBAABrBQ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8B3"/>
    <w:rsid w:val="00005B55"/>
    <w:rsid w:val="000537C8"/>
    <w:rsid w:val="00076619"/>
    <w:rsid w:val="00090C15"/>
    <w:rsid w:val="000A0A93"/>
    <w:rsid w:val="000A3200"/>
    <w:rsid w:val="000C32FE"/>
    <w:rsid w:val="000E1203"/>
    <w:rsid w:val="000F6044"/>
    <w:rsid w:val="001040B4"/>
    <w:rsid w:val="00112F85"/>
    <w:rsid w:val="001555F4"/>
    <w:rsid w:val="001B060A"/>
    <w:rsid w:val="002042F7"/>
    <w:rsid w:val="00215FA7"/>
    <w:rsid w:val="002816FF"/>
    <w:rsid w:val="00282859"/>
    <w:rsid w:val="00294F12"/>
    <w:rsid w:val="002C2736"/>
    <w:rsid w:val="002C5079"/>
    <w:rsid w:val="002E3674"/>
    <w:rsid w:val="002E3865"/>
    <w:rsid w:val="00322561"/>
    <w:rsid w:val="003363E7"/>
    <w:rsid w:val="00344B82"/>
    <w:rsid w:val="0037537F"/>
    <w:rsid w:val="003B28E3"/>
    <w:rsid w:val="003D2FB9"/>
    <w:rsid w:val="004346EA"/>
    <w:rsid w:val="00460C48"/>
    <w:rsid w:val="004A1762"/>
    <w:rsid w:val="004D305E"/>
    <w:rsid w:val="004F1B95"/>
    <w:rsid w:val="00500732"/>
    <w:rsid w:val="005067A2"/>
    <w:rsid w:val="00572340"/>
    <w:rsid w:val="005B2F9C"/>
    <w:rsid w:val="00644287"/>
    <w:rsid w:val="0065614E"/>
    <w:rsid w:val="006701FF"/>
    <w:rsid w:val="00672DE9"/>
    <w:rsid w:val="007E1551"/>
    <w:rsid w:val="00800477"/>
    <w:rsid w:val="00805AF7"/>
    <w:rsid w:val="0080658D"/>
    <w:rsid w:val="008145A6"/>
    <w:rsid w:val="008B383A"/>
    <w:rsid w:val="008C50F0"/>
    <w:rsid w:val="008E50D6"/>
    <w:rsid w:val="008E7153"/>
    <w:rsid w:val="009106A5"/>
    <w:rsid w:val="0091796E"/>
    <w:rsid w:val="00A12C89"/>
    <w:rsid w:val="00A228B3"/>
    <w:rsid w:val="00A53441"/>
    <w:rsid w:val="00A73A40"/>
    <w:rsid w:val="00A92102"/>
    <w:rsid w:val="00B12647"/>
    <w:rsid w:val="00BA56E7"/>
    <w:rsid w:val="00BD25EB"/>
    <w:rsid w:val="00BD5EEF"/>
    <w:rsid w:val="00BF6FF0"/>
    <w:rsid w:val="00C0425F"/>
    <w:rsid w:val="00C0628E"/>
    <w:rsid w:val="00C91EF7"/>
    <w:rsid w:val="00CA6C47"/>
    <w:rsid w:val="00CC6CF0"/>
    <w:rsid w:val="00CD06D1"/>
    <w:rsid w:val="00D345E0"/>
    <w:rsid w:val="00D34C97"/>
    <w:rsid w:val="00D402FC"/>
    <w:rsid w:val="00D51A67"/>
    <w:rsid w:val="00DC24BF"/>
    <w:rsid w:val="00E4707D"/>
    <w:rsid w:val="00E619AC"/>
    <w:rsid w:val="00ED1F56"/>
    <w:rsid w:val="00EE3739"/>
    <w:rsid w:val="00F14D21"/>
    <w:rsid w:val="00F53AD7"/>
    <w:rsid w:val="00F75676"/>
    <w:rsid w:val="00FC59F8"/>
    <w:rsid w:val="00FC7B0F"/>
    <w:rsid w:val="00FE50E8"/>
    <w:rsid w:val="00FE6BAC"/>
    <w:rsid w:val="287106E2"/>
    <w:rsid w:val="3DD22631"/>
    <w:rsid w:val="4E1F3EBE"/>
    <w:rsid w:val="60E6307F"/>
    <w:rsid w:val="66382EF8"/>
    <w:rsid w:val="6B43045E"/>
    <w:rsid w:val="7BE8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rFonts w:ascii="Times New Roman" w:hAnsi="Times New Roman" w:cs="Times New Roman"/>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5">
    <w:name w:val="page number"/>
    <w:basedOn w:val="4"/>
    <w:qFormat/>
    <w:uiPriority w:val="0"/>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rFonts w:ascii="Times New Roman" w:hAnsi="Times New Roman" w:eastAsia="宋体" w:cs="Times New Roman"/>
      <w:sz w:val="18"/>
      <w:szCs w:val="18"/>
    </w:rPr>
  </w:style>
  <w:style w:type="character" w:customStyle="1" w:styleId="9">
    <w:name w:val="页脚 字符"/>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1549</Words>
  <Characters>8833</Characters>
  <Lines>73</Lines>
  <Paragraphs>20</Paragraphs>
  <ScaleCrop>false</ScaleCrop>
  <LinksUpToDate>false</LinksUpToDate>
  <CharactersWithSpaces>10362</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2017-06-14T17:39:00Z</dcterms:created>
  <dc:creator>张康</dc:creator>
  <cp:lastModifiedBy>Administrator</cp:lastModifiedBy>
  <dcterms:modified xsi:type="dcterms:W3CDTF">2017-09-12T06:18:54Z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